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108" w:rsidRPr="00285DDF" w:rsidRDefault="00237108" w:rsidP="00C53D5F">
      <w:pPr>
        <w:jc w:val="both"/>
        <w:rPr>
          <w:rFonts w:ascii="Marianne" w:hAnsi="Marianne"/>
          <w:b/>
          <w:szCs w:val="22"/>
        </w:rPr>
      </w:pPr>
      <w:bookmarkStart w:id="0" w:name="_GoBack"/>
      <w:r w:rsidRPr="00285DDF">
        <w:rPr>
          <w:rFonts w:ascii="Marianne" w:hAnsi="Marianne"/>
          <w:b/>
          <w:szCs w:val="22"/>
        </w:rPr>
        <w:t xml:space="preserve">ANNEXE </w:t>
      </w:r>
      <w:r w:rsidR="0056737F">
        <w:rPr>
          <w:rFonts w:ascii="Marianne" w:hAnsi="Marianne"/>
          <w:b/>
          <w:szCs w:val="22"/>
        </w:rPr>
        <w:t xml:space="preserve">3 </w:t>
      </w:r>
      <w:r w:rsidRPr="00285DDF">
        <w:rPr>
          <w:rFonts w:ascii="Marianne" w:hAnsi="Marianne"/>
          <w:b/>
          <w:szCs w:val="22"/>
        </w:rPr>
        <w:t xml:space="preserve">: </w:t>
      </w:r>
      <w:r w:rsidR="005B2A7B" w:rsidRPr="00285DDF">
        <w:rPr>
          <w:rFonts w:ascii="Marianne" w:hAnsi="Marianne"/>
          <w:b/>
          <w:szCs w:val="22"/>
        </w:rPr>
        <w:t>DISPOSITIONS REGLEMENTAIRES</w:t>
      </w:r>
    </w:p>
    <w:p w:rsidR="002974ED" w:rsidRPr="00285DDF" w:rsidRDefault="002974ED" w:rsidP="00C53D5F">
      <w:pPr>
        <w:jc w:val="both"/>
        <w:rPr>
          <w:rFonts w:ascii="Marianne" w:hAnsi="Marianne"/>
          <w:b/>
          <w:szCs w:val="22"/>
        </w:rPr>
      </w:pPr>
    </w:p>
    <w:bookmarkEnd w:id="0"/>
    <w:p w:rsidR="002D5E60" w:rsidRPr="00285DDF" w:rsidRDefault="002D5E60" w:rsidP="00C53D5F">
      <w:pPr>
        <w:jc w:val="both"/>
        <w:rPr>
          <w:rFonts w:ascii="Marianne" w:hAnsi="Marianne"/>
          <w:b/>
          <w:szCs w:val="22"/>
        </w:rPr>
      </w:pPr>
    </w:p>
    <w:p w:rsidR="005B2A7B" w:rsidRPr="00285DDF" w:rsidRDefault="005B2A7B" w:rsidP="00C53D5F">
      <w:pPr>
        <w:pStyle w:val="Titre1"/>
        <w:jc w:val="both"/>
        <w:rPr>
          <w:rFonts w:ascii="Marianne" w:hAnsi="Marianne"/>
        </w:rPr>
      </w:pPr>
      <w:bookmarkStart w:id="1" w:name="_Toc183521722"/>
      <w:r w:rsidRPr="00285DDF">
        <w:rPr>
          <w:rFonts w:ascii="Marianne" w:hAnsi="Marianne"/>
        </w:rPr>
        <w:t>Normes et spécifications techniques</w:t>
      </w:r>
      <w:bookmarkEnd w:id="1"/>
    </w:p>
    <w:p w:rsidR="005B2A7B" w:rsidRPr="00285DDF" w:rsidRDefault="005B2A7B" w:rsidP="00C53D5F">
      <w:pPr>
        <w:ind w:left="360"/>
        <w:jc w:val="both"/>
        <w:rPr>
          <w:rFonts w:ascii="Marianne" w:hAnsi="Marianne"/>
          <w:sz w:val="22"/>
          <w:szCs w:val="22"/>
        </w:rPr>
      </w:pPr>
    </w:p>
    <w:p w:rsidR="005B2A7B" w:rsidRPr="00285DDF" w:rsidRDefault="005B2A7B" w:rsidP="00C53D5F">
      <w:pPr>
        <w:ind w:left="360"/>
        <w:jc w:val="both"/>
        <w:rPr>
          <w:rFonts w:ascii="Marianne" w:hAnsi="Marianne"/>
          <w:sz w:val="22"/>
          <w:szCs w:val="22"/>
        </w:rPr>
      </w:pPr>
      <w:r w:rsidRPr="00285DDF">
        <w:rPr>
          <w:rFonts w:ascii="Marianne" w:hAnsi="Marianne"/>
          <w:sz w:val="22"/>
          <w:szCs w:val="22"/>
        </w:rPr>
        <w:t xml:space="preserve">Les denrées utilisées dans la confection des repas doivent répondre aux dispositions de la réglementation française et européenne concernant les denrées alimentaires, soit générales, soit particulières à telle ou telles d’entre elles. </w:t>
      </w:r>
    </w:p>
    <w:p w:rsidR="005B2A7B" w:rsidRPr="00285DDF" w:rsidRDefault="005B2A7B" w:rsidP="00C53D5F">
      <w:pPr>
        <w:ind w:left="360"/>
        <w:jc w:val="both"/>
        <w:rPr>
          <w:rFonts w:ascii="Marianne" w:hAnsi="Marianne"/>
          <w:sz w:val="22"/>
          <w:szCs w:val="22"/>
        </w:rPr>
      </w:pPr>
    </w:p>
    <w:p w:rsidR="005B2A7B" w:rsidRPr="00285DDF" w:rsidRDefault="005B2A7B" w:rsidP="00C53D5F">
      <w:pPr>
        <w:ind w:left="360"/>
        <w:jc w:val="both"/>
        <w:rPr>
          <w:rFonts w:ascii="Marianne" w:hAnsi="Marianne"/>
          <w:sz w:val="22"/>
          <w:szCs w:val="22"/>
        </w:rPr>
      </w:pPr>
      <w:r w:rsidRPr="00285DDF">
        <w:rPr>
          <w:rFonts w:ascii="Marianne" w:hAnsi="Marianne"/>
          <w:sz w:val="22"/>
          <w:szCs w:val="22"/>
        </w:rPr>
        <w:t>Elles doivent en outre être conformes :</w:t>
      </w:r>
    </w:p>
    <w:p w:rsidR="005B2A7B" w:rsidRPr="00285DDF" w:rsidRDefault="005B2A7B" w:rsidP="00C53D5F">
      <w:pPr>
        <w:pStyle w:val="Paragraphedeliste"/>
        <w:numPr>
          <w:ilvl w:val="0"/>
          <w:numId w:val="29"/>
        </w:numPr>
        <w:jc w:val="both"/>
        <w:rPr>
          <w:rFonts w:ascii="Marianne" w:hAnsi="Marianne"/>
          <w:sz w:val="22"/>
          <w:szCs w:val="22"/>
        </w:rPr>
      </w:pPr>
      <w:r w:rsidRPr="00285DDF">
        <w:rPr>
          <w:rFonts w:ascii="Marianne" w:hAnsi="Marianne"/>
          <w:sz w:val="22"/>
          <w:szCs w:val="22"/>
        </w:rPr>
        <w:t>Aux normes homologuées et enregistrées de l’A.F.N.O.R., et en particulier,</w:t>
      </w:r>
    </w:p>
    <w:p w:rsidR="005B2A7B" w:rsidRPr="00285DDF" w:rsidRDefault="005B2A7B" w:rsidP="00C53D5F">
      <w:pPr>
        <w:pStyle w:val="Paragraphedeliste"/>
        <w:numPr>
          <w:ilvl w:val="0"/>
          <w:numId w:val="29"/>
        </w:numPr>
        <w:jc w:val="both"/>
        <w:rPr>
          <w:rFonts w:ascii="Marianne" w:hAnsi="Marianne"/>
          <w:sz w:val="22"/>
          <w:szCs w:val="22"/>
        </w:rPr>
      </w:pPr>
      <w:r w:rsidRPr="00285DDF">
        <w:rPr>
          <w:rFonts w:ascii="Marianne" w:hAnsi="Marianne"/>
          <w:sz w:val="22"/>
          <w:szCs w:val="22"/>
        </w:rPr>
        <w:t xml:space="preserve">Aux recommandations relatives à la nutrition du Groupe d'Etude des Marchés de Restauration Collective et de Nutrition (GEMRCN) </w:t>
      </w:r>
      <w:r w:rsidR="00C56A59" w:rsidRPr="00285DDF">
        <w:rPr>
          <w:rFonts w:ascii="Marianne" w:hAnsi="Marianne"/>
          <w:sz w:val="22"/>
          <w:szCs w:val="22"/>
        </w:rPr>
        <w:t>en vigueur</w:t>
      </w:r>
      <w:r w:rsidRPr="00285DDF">
        <w:rPr>
          <w:rFonts w:ascii="Marianne" w:hAnsi="Marianne"/>
          <w:sz w:val="22"/>
          <w:szCs w:val="22"/>
        </w:rPr>
        <w:t>. Toute disposition nouvelle arrêtée par le GEMRCN est applicable dès sa publication.</w:t>
      </w:r>
    </w:p>
    <w:p w:rsidR="005B2A7B" w:rsidRPr="00285DDF" w:rsidRDefault="005B2A7B" w:rsidP="00C53D5F">
      <w:pPr>
        <w:ind w:left="360"/>
        <w:jc w:val="both"/>
        <w:rPr>
          <w:rFonts w:ascii="Marianne" w:hAnsi="Marianne"/>
          <w:sz w:val="22"/>
          <w:szCs w:val="22"/>
        </w:rPr>
      </w:pPr>
    </w:p>
    <w:p w:rsidR="005B2A7B" w:rsidRPr="00285DDF" w:rsidRDefault="005B2A7B" w:rsidP="00C53D5F">
      <w:pPr>
        <w:ind w:left="360"/>
        <w:jc w:val="both"/>
        <w:rPr>
          <w:rFonts w:ascii="Marianne" w:hAnsi="Marianne"/>
          <w:sz w:val="22"/>
          <w:szCs w:val="22"/>
        </w:rPr>
      </w:pPr>
      <w:r w:rsidRPr="00285DDF">
        <w:rPr>
          <w:rFonts w:ascii="Marianne" w:hAnsi="Marianne"/>
          <w:sz w:val="22"/>
          <w:szCs w:val="22"/>
        </w:rPr>
        <w:t>Par ailleurs, il peut être utile de se référer</w:t>
      </w:r>
      <w:r w:rsidR="00C56A59" w:rsidRPr="00285DDF">
        <w:rPr>
          <w:rFonts w:ascii="Marianne" w:hAnsi="Marianne"/>
          <w:sz w:val="22"/>
          <w:szCs w:val="22"/>
        </w:rPr>
        <w:t> :</w:t>
      </w:r>
    </w:p>
    <w:p w:rsidR="005B2A7B" w:rsidRPr="00285DDF" w:rsidRDefault="005B2A7B" w:rsidP="00C53D5F">
      <w:pPr>
        <w:pStyle w:val="Paragraphedeliste"/>
        <w:numPr>
          <w:ilvl w:val="0"/>
          <w:numId w:val="30"/>
        </w:numPr>
        <w:jc w:val="both"/>
        <w:rPr>
          <w:rFonts w:ascii="Marianne" w:hAnsi="Marianne"/>
          <w:sz w:val="22"/>
          <w:szCs w:val="22"/>
        </w:rPr>
      </w:pPr>
      <w:r w:rsidRPr="00285DDF">
        <w:rPr>
          <w:rFonts w:ascii="Marianne" w:hAnsi="Marianne"/>
          <w:sz w:val="22"/>
          <w:szCs w:val="22"/>
        </w:rPr>
        <w:t xml:space="preserve">Au Guide des contrats publics de restauration collective (guide GEMRCN </w:t>
      </w:r>
      <w:r w:rsidR="00C56A59" w:rsidRPr="00285DDF">
        <w:rPr>
          <w:rFonts w:ascii="Marianne" w:hAnsi="Marianne"/>
          <w:sz w:val="22"/>
          <w:szCs w:val="22"/>
        </w:rPr>
        <w:t>en vigueur</w:t>
      </w:r>
      <w:r w:rsidRPr="00285DDF">
        <w:rPr>
          <w:rFonts w:ascii="Marianne" w:hAnsi="Marianne"/>
          <w:sz w:val="22"/>
          <w:szCs w:val="22"/>
        </w:rPr>
        <w:t>)</w:t>
      </w:r>
    </w:p>
    <w:p w:rsidR="005B2A7B" w:rsidRPr="00285DDF" w:rsidRDefault="005B2A7B" w:rsidP="00C53D5F">
      <w:pPr>
        <w:pStyle w:val="Paragraphedeliste"/>
        <w:numPr>
          <w:ilvl w:val="0"/>
          <w:numId w:val="30"/>
        </w:numPr>
        <w:jc w:val="both"/>
        <w:rPr>
          <w:rFonts w:ascii="Marianne" w:hAnsi="Marianne"/>
          <w:sz w:val="22"/>
          <w:szCs w:val="22"/>
        </w:rPr>
      </w:pPr>
      <w:r w:rsidRPr="00285DDF">
        <w:rPr>
          <w:rFonts w:ascii="Marianne" w:hAnsi="Marianne"/>
          <w:sz w:val="22"/>
          <w:szCs w:val="22"/>
        </w:rPr>
        <w:t>Au Guide des bonnes pratiques de l’hygiène et d’application des principes de l’HACCP (Hazard</w:t>
      </w:r>
      <w:r w:rsidR="008304F4" w:rsidRPr="00285DDF">
        <w:rPr>
          <w:rFonts w:ascii="Marianne" w:hAnsi="Marianne"/>
          <w:sz w:val="22"/>
          <w:szCs w:val="22"/>
        </w:rPr>
        <w:t xml:space="preserve"> </w:t>
      </w:r>
      <w:r w:rsidRPr="00285DDF">
        <w:rPr>
          <w:rFonts w:ascii="Marianne" w:hAnsi="Marianne"/>
          <w:sz w:val="22"/>
          <w:szCs w:val="22"/>
        </w:rPr>
        <w:t>Analysis Critical Control Point) en restauration collective</w:t>
      </w:r>
    </w:p>
    <w:p w:rsidR="005B2A7B" w:rsidRPr="00285DDF" w:rsidRDefault="005B2A7B" w:rsidP="00C53D5F">
      <w:pPr>
        <w:pStyle w:val="Paragraphedeliste"/>
        <w:numPr>
          <w:ilvl w:val="0"/>
          <w:numId w:val="30"/>
        </w:numPr>
        <w:jc w:val="both"/>
        <w:rPr>
          <w:rFonts w:ascii="Marianne" w:hAnsi="Marianne"/>
          <w:sz w:val="22"/>
          <w:szCs w:val="22"/>
        </w:rPr>
      </w:pPr>
      <w:r w:rsidRPr="00285DDF">
        <w:rPr>
          <w:rFonts w:ascii="Marianne" w:hAnsi="Marianne"/>
          <w:sz w:val="22"/>
          <w:szCs w:val="22"/>
        </w:rPr>
        <w:t xml:space="preserve">Au </w:t>
      </w:r>
      <w:r w:rsidR="00C56A59" w:rsidRPr="00285DDF">
        <w:rPr>
          <w:rFonts w:ascii="Marianne" w:hAnsi="Marianne"/>
          <w:sz w:val="22"/>
          <w:szCs w:val="22"/>
        </w:rPr>
        <w:t>Programme national nutrition santé (</w:t>
      </w:r>
      <w:r w:rsidRPr="00285DDF">
        <w:rPr>
          <w:rFonts w:ascii="Marianne" w:hAnsi="Marianne"/>
          <w:sz w:val="22"/>
          <w:szCs w:val="22"/>
        </w:rPr>
        <w:t>PNNS)</w:t>
      </w:r>
      <w:r w:rsidR="00C56A59" w:rsidRPr="00285DDF">
        <w:rPr>
          <w:rFonts w:ascii="Marianne" w:hAnsi="Marianne"/>
          <w:sz w:val="22"/>
          <w:szCs w:val="22"/>
        </w:rPr>
        <w:t xml:space="preserve"> en vigueur</w:t>
      </w:r>
    </w:p>
    <w:p w:rsidR="005B2A7B" w:rsidRPr="00285DDF" w:rsidRDefault="005B2A7B" w:rsidP="00C53D5F">
      <w:pPr>
        <w:pStyle w:val="Paragraphedeliste"/>
        <w:numPr>
          <w:ilvl w:val="0"/>
          <w:numId w:val="30"/>
        </w:numPr>
        <w:jc w:val="both"/>
        <w:rPr>
          <w:rFonts w:ascii="Marianne" w:hAnsi="Marianne"/>
          <w:sz w:val="22"/>
          <w:szCs w:val="22"/>
        </w:rPr>
      </w:pPr>
      <w:r w:rsidRPr="00285DDF">
        <w:rPr>
          <w:rFonts w:ascii="Marianne" w:hAnsi="Marianne"/>
          <w:sz w:val="22"/>
          <w:szCs w:val="22"/>
        </w:rPr>
        <w:t>Au Programme national pour l’alimentation (PNA)</w:t>
      </w:r>
      <w:r w:rsidR="00C56A59" w:rsidRPr="00285DDF">
        <w:rPr>
          <w:rFonts w:ascii="Marianne" w:hAnsi="Marianne"/>
          <w:sz w:val="22"/>
          <w:szCs w:val="22"/>
        </w:rPr>
        <w:t xml:space="preserve"> en vigueur</w:t>
      </w:r>
      <w:r w:rsidRPr="00285DDF">
        <w:rPr>
          <w:rFonts w:ascii="Marianne" w:hAnsi="Marianne"/>
          <w:sz w:val="22"/>
          <w:szCs w:val="22"/>
        </w:rPr>
        <w:t xml:space="preserve"> </w:t>
      </w:r>
    </w:p>
    <w:p w:rsidR="005B2A7B" w:rsidRPr="00285DDF" w:rsidRDefault="005B2A7B" w:rsidP="00C53D5F">
      <w:pPr>
        <w:ind w:left="360"/>
        <w:jc w:val="both"/>
        <w:rPr>
          <w:rFonts w:ascii="Marianne" w:hAnsi="Marianne"/>
          <w:sz w:val="22"/>
          <w:szCs w:val="22"/>
        </w:rPr>
      </w:pPr>
    </w:p>
    <w:p w:rsidR="002D5E60" w:rsidRPr="00285DDF" w:rsidRDefault="002D5E60" w:rsidP="00C53D5F">
      <w:pPr>
        <w:ind w:left="360"/>
        <w:jc w:val="both"/>
        <w:rPr>
          <w:rFonts w:ascii="Marianne" w:hAnsi="Marianne"/>
          <w:sz w:val="22"/>
          <w:szCs w:val="22"/>
        </w:rPr>
      </w:pPr>
    </w:p>
    <w:p w:rsidR="005B2A7B" w:rsidRPr="00285DDF" w:rsidRDefault="005B2A7B" w:rsidP="00C53D5F">
      <w:pPr>
        <w:pStyle w:val="Titre1"/>
        <w:jc w:val="both"/>
        <w:rPr>
          <w:rFonts w:ascii="Marianne" w:hAnsi="Marianne"/>
        </w:rPr>
      </w:pPr>
      <w:bookmarkStart w:id="2" w:name="_Toc183521723"/>
      <w:r w:rsidRPr="00285DDF">
        <w:rPr>
          <w:rFonts w:ascii="Marianne" w:hAnsi="Marianne"/>
        </w:rPr>
        <w:t>Réglementation</w:t>
      </w:r>
      <w:bookmarkEnd w:id="2"/>
    </w:p>
    <w:p w:rsidR="00CC1F7F" w:rsidRPr="00285DDF" w:rsidRDefault="00CC1F7F" w:rsidP="00C53D5F">
      <w:pPr>
        <w:ind w:left="360"/>
        <w:jc w:val="both"/>
        <w:rPr>
          <w:rFonts w:ascii="Marianne" w:hAnsi="Marianne"/>
          <w:sz w:val="22"/>
          <w:szCs w:val="22"/>
        </w:rPr>
      </w:pPr>
    </w:p>
    <w:p w:rsidR="005B2A7B" w:rsidRPr="00285DDF" w:rsidRDefault="005B2A7B" w:rsidP="00C53D5F">
      <w:pPr>
        <w:ind w:left="360"/>
        <w:jc w:val="both"/>
        <w:rPr>
          <w:rFonts w:ascii="Marianne" w:hAnsi="Marianne"/>
          <w:sz w:val="22"/>
          <w:szCs w:val="22"/>
        </w:rPr>
      </w:pPr>
      <w:r w:rsidRPr="00285DDF">
        <w:rPr>
          <w:rFonts w:ascii="Marianne" w:hAnsi="Marianne"/>
          <w:sz w:val="22"/>
          <w:szCs w:val="22"/>
        </w:rPr>
        <w:t>Le Titulaire suit et applique toujours la législation en vigueur et adapte en permanence ses méthodes d’approvisionnement.</w:t>
      </w:r>
    </w:p>
    <w:p w:rsidR="00CC1F7F" w:rsidRPr="00285DDF" w:rsidRDefault="00CC1F7F" w:rsidP="00C53D5F">
      <w:pPr>
        <w:ind w:left="360"/>
        <w:jc w:val="both"/>
        <w:rPr>
          <w:rFonts w:ascii="Marianne" w:hAnsi="Marianne"/>
          <w:sz w:val="22"/>
          <w:szCs w:val="22"/>
        </w:rPr>
      </w:pPr>
    </w:p>
    <w:p w:rsidR="005B2A7B" w:rsidRPr="00285DDF" w:rsidRDefault="005B2A7B" w:rsidP="00C53D5F">
      <w:pPr>
        <w:ind w:left="360"/>
        <w:jc w:val="both"/>
        <w:rPr>
          <w:rFonts w:ascii="Marianne" w:hAnsi="Marianne"/>
          <w:sz w:val="22"/>
          <w:szCs w:val="22"/>
        </w:rPr>
      </w:pPr>
      <w:r w:rsidRPr="00285DDF">
        <w:rPr>
          <w:rFonts w:ascii="Marianne" w:hAnsi="Marianne"/>
          <w:sz w:val="22"/>
          <w:szCs w:val="22"/>
        </w:rPr>
        <w:t>Le Titulaire respecte la méthode HACCP. Il doit fournir au Pouvoir adjudicateur son livret de procédures.</w:t>
      </w:r>
    </w:p>
    <w:p w:rsidR="00CC1F7F" w:rsidRPr="00285DDF" w:rsidRDefault="00CC1F7F" w:rsidP="00C53D5F">
      <w:pPr>
        <w:ind w:left="360"/>
        <w:jc w:val="both"/>
        <w:rPr>
          <w:rFonts w:ascii="Marianne" w:hAnsi="Marianne"/>
          <w:sz w:val="22"/>
          <w:szCs w:val="22"/>
        </w:rPr>
      </w:pPr>
    </w:p>
    <w:p w:rsidR="005B2A7B" w:rsidRPr="00285DDF" w:rsidRDefault="005B2A7B" w:rsidP="00C53D5F">
      <w:pPr>
        <w:ind w:left="360"/>
        <w:jc w:val="both"/>
        <w:rPr>
          <w:rFonts w:ascii="Marianne" w:hAnsi="Marianne"/>
          <w:sz w:val="22"/>
          <w:szCs w:val="22"/>
        </w:rPr>
      </w:pPr>
      <w:r w:rsidRPr="00285DDF">
        <w:rPr>
          <w:rFonts w:ascii="Marianne" w:hAnsi="Marianne"/>
          <w:sz w:val="22"/>
          <w:szCs w:val="22"/>
        </w:rPr>
        <w:t>Le Titulaire doit avoir pérennisé sa démarche de traçabilité de ses produits notamment en matière d’Encéphalopathie Spongiforme Bovine, Listériose, etc. Il doit fournir la preuve de son action et des solutions adoptées. Toute contagion ou risque épidémique futur doit être traité sur ce mode opératoire et ce dès les premiers signes avant-coureurs ou sur simple demande du Pouvoir adjudicateur.</w:t>
      </w:r>
    </w:p>
    <w:p w:rsidR="00CC1F7F" w:rsidRPr="00285DDF" w:rsidRDefault="00CC1F7F" w:rsidP="00C53D5F">
      <w:pPr>
        <w:ind w:left="360"/>
        <w:jc w:val="both"/>
        <w:rPr>
          <w:rFonts w:ascii="Marianne" w:hAnsi="Marianne"/>
          <w:sz w:val="22"/>
          <w:szCs w:val="22"/>
        </w:rPr>
      </w:pPr>
    </w:p>
    <w:p w:rsidR="00237108" w:rsidRPr="00285DDF" w:rsidRDefault="005B2A7B" w:rsidP="00C53D5F">
      <w:pPr>
        <w:ind w:left="360"/>
        <w:jc w:val="both"/>
        <w:rPr>
          <w:rFonts w:ascii="Marianne" w:hAnsi="Marianne"/>
          <w:sz w:val="22"/>
          <w:szCs w:val="22"/>
        </w:rPr>
      </w:pPr>
      <w:r w:rsidRPr="00285DDF">
        <w:rPr>
          <w:rFonts w:ascii="Marianne" w:hAnsi="Marianne"/>
          <w:sz w:val="22"/>
          <w:szCs w:val="22"/>
        </w:rPr>
        <w:t>Le Pouvoir adjudicateur accordera une importance particulière sur le plan du dépistage des organismes génétiquement modifiés (OGM) et leur éradication des produits achetés par le Titulaire. Ce plan doit être communiqué au Pouvoir adjudicateur sur simple demande.</w:t>
      </w:r>
    </w:p>
    <w:p w:rsidR="005B2A7B" w:rsidRPr="00285DDF" w:rsidRDefault="005B2A7B" w:rsidP="00C53D5F">
      <w:pPr>
        <w:ind w:left="360"/>
        <w:jc w:val="both"/>
        <w:rPr>
          <w:rFonts w:ascii="Marianne" w:hAnsi="Marianne"/>
          <w:sz w:val="22"/>
          <w:szCs w:val="22"/>
        </w:rPr>
      </w:pPr>
    </w:p>
    <w:p w:rsidR="005B2A7B" w:rsidRPr="00285DDF" w:rsidRDefault="005B2A7B" w:rsidP="00C53D5F">
      <w:pPr>
        <w:ind w:left="360"/>
        <w:jc w:val="both"/>
        <w:rPr>
          <w:rFonts w:ascii="Marianne" w:hAnsi="Marianne"/>
          <w:sz w:val="22"/>
          <w:szCs w:val="22"/>
        </w:rPr>
      </w:pPr>
      <w:r w:rsidRPr="00285DDF">
        <w:rPr>
          <w:rFonts w:ascii="Marianne" w:hAnsi="Marianne"/>
          <w:sz w:val="22"/>
          <w:szCs w:val="22"/>
        </w:rPr>
        <w:t>Le Titulaire respecte l’ensemble des exigences réglementaires communautaires et nationales en vigueur, ainsi que tout nouveau texte à paraître.</w:t>
      </w:r>
    </w:p>
    <w:p w:rsidR="007C24BF" w:rsidRPr="00285DDF" w:rsidRDefault="007C24BF" w:rsidP="00C53D5F">
      <w:pPr>
        <w:ind w:left="360"/>
        <w:jc w:val="both"/>
        <w:rPr>
          <w:rFonts w:ascii="Marianne" w:hAnsi="Marianne"/>
          <w:sz w:val="22"/>
          <w:szCs w:val="22"/>
        </w:rPr>
      </w:pPr>
    </w:p>
    <w:p w:rsidR="002D5E60" w:rsidRPr="00285DDF" w:rsidRDefault="002D5E60" w:rsidP="00C53D5F">
      <w:pPr>
        <w:ind w:left="360"/>
        <w:jc w:val="both"/>
        <w:rPr>
          <w:rFonts w:ascii="Marianne" w:hAnsi="Marianne"/>
          <w:sz w:val="22"/>
          <w:szCs w:val="22"/>
        </w:rPr>
      </w:pPr>
    </w:p>
    <w:p w:rsidR="002D5E60" w:rsidRPr="00285DDF" w:rsidRDefault="002D5E60" w:rsidP="00C53D5F">
      <w:pPr>
        <w:ind w:left="360"/>
        <w:jc w:val="both"/>
        <w:rPr>
          <w:rFonts w:ascii="Marianne" w:hAnsi="Marianne"/>
          <w:sz w:val="22"/>
          <w:szCs w:val="22"/>
        </w:rPr>
      </w:pPr>
    </w:p>
    <w:p w:rsidR="005B2A7B" w:rsidRPr="00285DDF" w:rsidRDefault="005B2A7B" w:rsidP="00C53D5F">
      <w:pPr>
        <w:pStyle w:val="Titre2"/>
        <w:jc w:val="both"/>
        <w:rPr>
          <w:rFonts w:ascii="Marianne" w:hAnsi="Marianne"/>
        </w:rPr>
      </w:pPr>
      <w:r w:rsidRPr="00285DDF">
        <w:rPr>
          <w:rFonts w:ascii="Marianne" w:hAnsi="Marianne"/>
        </w:rPr>
        <w:t>Concernant les généralités et l’hygiène alimentaire</w:t>
      </w:r>
    </w:p>
    <w:p w:rsidR="00CC1F7F" w:rsidRPr="00285DDF" w:rsidRDefault="00CC1F7F" w:rsidP="00C53D5F">
      <w:pPr>
        <w:ind w:left="360"/>
        <w:jc w:val="both"/>
        <w:rPr>
          <w:rFonts w:ascii="Marianne" w:hAnsi="Marianne" w:cs="Marianne Light"/>
          <w:sz w:val="22"/>
          <w:szCs w:val="22"/>
        </w:rPr>
      </w:pPr>
    </w:p>
    <w:p w:rsidR="005B2A7B" w:rsidRPr="00285DDF" w:rsidRDefault="00CC1F7F" w:rsidP="00C53D5F">
      <w:pPr>
        <w:pStyle w:val="Paragraphedeliste"/>
        <w:numPr>
          <w:ilvl w:val="0"/>
          <w:numId w:val="31"/>
        </w:numPr>
        <w:jc w:val="both"/>
        <w:rPr>
          <w:rFonts w:ascii="Marianne" w:hAnsi="Marianne"/>
          <w:sz w:val="22"/>
          <w:szCs w:val="22"/>
        </w:rPr>
      </w:pPr>
      <w:r w:rsidRPr="00285DDF">
        <w:rPr>
          <w:rFonts w:ascii="Marianne" w:hAnsi="Marianne" w:cs="Marianne Light"/>
          <w:sz w:val="22"/>
          <w:szCs w:val="22"/>
        </w:rPr>
        <w:t>L</w:t>
      </w:r>
      <w:r w:rsidR="005B2A7B" w:rsidRPr="00285DDF">
        <w:rPr>
          <w:rFonts w:ascii="Marianne" w:hAnsi="Marianne" w:cs="Marianne Light"/>
          <w:sz w:val="22"/>
          <w:szCs w:val="22"/>
        </w:rPr>
        <w:t>é</w:t>
      </w:r>
      <w:r w:rsidR="005B2A7B" w:rsidRPr="00285DDF">
        <w:rPr>
          <w:rFonts w:ascii="Marianne" w:hAnsi="Marianne"/>
          <w:sz w:val="22"/>
          <w:szCs w:val="22"/>
        </w:rPr>
        <w:t>gislation communautaire : le Paquet Hygi</w:t>
      </w:r>
      <w:r w:rsidR="005B2A7B" w:rsidRPr="00285DDF">
        <w:rPr>
          <w:rFonts w:ascii="Marianne" w:hAnsi="Marianne" w:cs="Marianne Light"/>
          <w:sz w:val="22"/>
          <w:szCs w:val="22"/>
        </w:rPr>
        <w:t>è</w:t>
      </w:r>
      <w:r w:rsidR="005B2A7B" w:rsidRPr="00285DDF">
        <w:rPr>
          <w:rFonts w:ascii="Marianne" w:hAnsi="Marianne"/>
          <w:sz w:val="22"/>
          <w:szCs w:val="22"/>
        </w:rPr>
        <w:t>ne</w:t>
      </w:r>
    </w:p>
    <w:p w:rsidR="00CC1F7F" w:rsidRPr="00285DDF" w:rsidRDefault="00CC1F7F" w:rsidP="00C53D5F">
      <w:pPr>
        <w:ind w:left="360"/>
        <w:jc w:val="both"/>
        <w:rPr>
          <w:rFonts w:ascii="Marianne" w:hAnsi="Marianne"/>
          <w:sz w:val="22"/>
          <w:szCs w:val="22"/>
        </w:rPr>
      </w:pPr>
    </w:p>
    <w:p w:rsidR="005B2A7B" w:rsidRPr="00285DDF" w:rsidRDefault="005B2A7B" w:rsidP="00C53D5F">
      <w:pPr>
        <w:pStyle w:val="Paragraphedeliste"/>
        <w:numPr>
          <w:ilvl w:val="0"/>
          <w:numId w:val="36"/>
        </w:numPr>
        <w:jc w:val="both"/>
        <w:rPr>
          <w:rFonts w:ascii="Marianne" w:hAnsi="Marianne"/>
          <w:sz w:val="22"/>
          <w:szCs w:val="22"/>
        </w:rPr>
      </w:pPr>
      <w:r w:rsidRPr="00285DDF">
        <w:rPr>
          <w:rFonts w:ascii="Marianne" w:hAnsi="Marianne"/>
          <w:sz w:val="22"/>
          <w:szCs w:val="22"/>
        </w:rPr>
        <w:t>Règlement (CE) N° 178/2002 du Parlement Européen et du Pouvoir adjudicateur du 28</w:t>
      </w:r>
      <w:r w:rsidR="00CE5928" w:rsidRPr="00285DDF">
        <w:rPr>
          <w:rFonts w:ascii="Marianne" w:hAnsi="Marianne"/>
          <w:sz w:val="22"/>
          <w:szCs w:val="22"/>
        </w:rPr>
        <w:t xml:space="preserve"> </w:t>
      </w:r>
      <w:r w:rsidRPr="00285DDF">
        <w:rPr>
          <w:rFonts w:ascii="Marianne" w:hAnsi="Marianne"/>
          <w:sz w:val="22"/>
          <w:szCs w:val="22"/>
        </w:rPr>
        <w:t>janvier 2002 établissant les principes généraux et les prescriptions générales de la</w:t>
      </w:r>
      <w:r w:rsidR="007C24BF" w:rsidRPr="00285DDF">
        <w:rPr>
          <w:rFonts w:ascii="Marianne" w:hAnsi="Marianne"/>
          <w:sz w:val="22"/>
          <w:szCs w:val="22"/>
        </w:rPr>
        <w:t xml:space="preserve"> </w:t>
      </w:r>
      <w:r w:rsidRPr="00285DDF">
        <w:rPr>
          <w:rFonts w:ascii="Marianne" w:hAnsi="Marianne"/>
          <w:sz w:val="22"/>
          <w:szCs w:val="22"/>
        </w:rPr>
        <w:t>législation alimentaire, instituant l'Autorité européenne de sécurité des aliments et fixant</w:t>
      </w:r>
      <w:r w:rsidR="007C24BF" w:rsidRPr="00285DDF">
        <w:rPr>
          <w:rFonts w:ascii="Marianne" w:hAnsi="Marianne"/>
          <w:sz w:val="22"/>
          <w:szCs w:val="22"/>
        </w:rPr>
        <w:t xml:space="preserve"> </w:t>
      </w:r>
      <w:r w:rsidRPr="00285DDF">
        <w:rPr>
          <w:rFonts w:ascii="Marianne" w:hAnsi="Marianne"/>
          <w:sz w:val="22"/>
          <w:szCs w:val="22"/>
        </w:rPr>
        <w:t>des procédures relatives à la sécurité des denrées alimentaires</w:t>
      </w:r>
    </w:p>
    <w:p w:rsidR="00CC1F7F" w:rsidRPr="00285DDF" w:rsidRDefault="00CC1F7F" w:rsidP="00C53D5F">
      <w:pPr>
        <w:ind w:left="360"/>
        <w:jc w:val="both"/>
        <w:rPr>
          <w:rFonts w:ascii="Marianne" w:hAnsi="Marianne"/>
          <w:sz w:val="22"/>
          <w:szCs w:val="22"/>
        </w:rPr>
      </w:pPr>
    </w:p>
    <w:p w:rsidR="005B2A7B" w:rsidRPr="00285DDF" w:rsidRDefault="005B2A7B" w:rsidP="00C53D5F">
      <w:pPr>
        <w:pStyle w:val="Paragraphedeliste"/>
        <w:numPr>
          <w:ilvl w:val="0"/>
          <w:numId w:val="36"/>
        </w:numPr>
        <w:jc w:val="both"/>
        <w:rPr>
          <w:rFonts w:ascii="Marianne" w:hAnsi="Marianne"/>
          <w:sz w:val="22"/>
          <w:szCs w:val="22"/>
        </w:rPr>
      </w:pPr>
      <w:r w:rsidRPr="00285DDF">
        <w:rPr>
          <w:rFonts w:ascii="Marianne" w:hAnsi="Marianne"/>
          <w:sz w:val="22"/>
          <w:szCs w:val="22"/>
        </w:rPr>
        <w:t>Règlement (CE) N° 852/2004 du Parlement Européen et du Pouvoir adjudicateur du 29</w:t>
      </w:r>
      <w:r w:rsidR="00CE5928" w:rsidRPr="00285DDF">
        <w:rPr>
          <w:rFonts w:ascii="Marianne" w:hAnsi="Marianne"/>
          <w:sz w:val="22"/>
          <w:szCs w:val="22"/>
        </w:rPr>
        <w:t xml:space="preserve"> </w:t>
      </w:r>
      <w:r w:rsidRPr="00285DDF">
        <w:rPr>
          <w:rFonts w:ascii="Marianne" w:hAnsi="Marianne"/>
          <w:sz w:val="22"/>
          <w:szCs w:val="22"/>
        </w:rPr>
        <w:t>avril 2004 relatif à l'hygiène des denrées alimentaires</w:t>
      </w:r>
    </w:p>
    <w:p w:rsidR="00CC1F7F" w:rsidRPr="00285DDF" w:rsidRDefault="00CC1F7F" w:rsidP="00C53D5F">
      <w:pPr>
        <w:ind w:left="360"/>
        <w:jc w:val="both"/>
        <w:rPr>
          <w:rFonts w:ascii="Marianne" w:hAnsi="Marianne"/>
          <w:sz w:val="22"/>
          <w:szCs w:val="22"/>
        </w:rPr>
      </w:pPr>
    </w:p>
    <w:p w:rsidR="005B2A7B" w:rsidRPr="00285DDF" w:rsidRDefault="005B2A7B" w:rsidP="00C53D5F">
      <w:pPr>
        <w:pStyle w:val="Paragraphedeliste"/>
        <w:numPr>
          <w:ilvl w:val="0"/>
          <w:numId w:val="36"/>
        </w:numPr>
        <w:jc w:val="both"/>
        <w:rPr>
          <w:rFonts w:ascii="Marianne" w:hAnsi="Marianne"/>
          <w:sz w:val="22"/>
          <w:szCs w:val="22"/>
        </w:rPr>
      </w:pPr>
      <w:r w:rsidRPr="00285DDF">
        <w:rPr>
          <w:rFonts w:ascii="Marianne" w:hAnsi="Marianne"/>
          <w:sz w:val="22"/>
          <w:szCs w:val="22"/>
        </w:rPr>
        <w:t>Règlement (CE) N° 853/2004 du Parlement Européen et du Pouvoir adjudicateur du 29</w:t>
      </w:r>
      <w:r w:rsidR="00CE5928" w:rsidRPr="00285DDF">
        <w:rPr>
          <w:rFonts w:ascii="Marianne" w:hAnsi="Marianne"/>
          <w:sz w:val="22"/>
          <w:szCs w:val="22"/>
        </w:rPr>
        <w:t xml:space="preserve"> </w:t>
      </w:r>
      <w:r w:rsidRPr="00285DDF">
        <w:rPr>
          <w:rFonts w:ascii="Marianne" w:hAnsi="Marianne"/>
          <w:sz w:val="22"/>
          <w:szCs w:val="22"/>
        </w:rPr>
        <w:t>avril 2004 fixant des règles spécifiques d'hygiène applicables aux denrées alimentaires</w:t>
      </w:r>
      <w:r w:rsidR="007C24BF" w:rsidRPr="00285DDF">
        <w:rPr>
          <w:rFonts w:ascii="Marianne" w:hAnsi="Marianne"/>
          <w:sz w:val="22"/>
          <w:szCs w:val="22"/>
        </w:rPr>
        <w:t xml:space="preserve"> </w:t>
      </w:r>
      <w:r w:rsidRPr="00285DDF">
        <w:rPr>
          <w:rFonts w:ascii="Marianne" w:hAnsi="Marianne"/>
          <w:sz w:val="22"/>
          <w:szCs w:val="22"/>
        </w:rPr>
        <w:t>d'origine animale</w:t>
      </w:r>
    </w:p>
    <w:p w:rsidR="00CC1F7F" w:rsidRPr="00285DDF" w:rsidRDefault="00CC1F7F" w:rsidP="00C53D5F">
      <w:pPr>
        <w:ind w:left="360"/>
        <w:jc w:val="both"/>
        <w:rPr>
          <w:rFonts w:ascii="Marianne" w:hAnsi="Marianne"/>
          <w:sz w:val="22"/>
          <w:szCs w:val="22"/>
        </w:rPr>
      </w:pPr>
    </w:p>
    <w:p w:rsidR="005B2A7B" w:rsidRPr="00285DDF" w:rsidRDefault="005B2A7B" w:rsidP="00C53D5F">
      <w:pPr>
        <w:pStyle w:val="Paragraphedeliste"/>
        <w:numPr>
          <w:ilvl w:val="0"/>
          <w:numId w:val="31"/>
        </w:numPr>
        <w:jc w:val="both"/>
        <w:rPr>
          <w:rFonts w:ascii="Marianne" w:hAnsi="Marianne" w:cs="Marianne Light"/>
          <w:sz w:val="22"/>
          <w:szCs w:val="22"/>
        </w:rPr>
      </w:pPr>
      <w:r w:rsidRPr="00285DDF">
        <w:rPr>
          <w:rFonts w:ascii="Marianne" w:hAnsi="Marianne" w:cs="Marianne Light"/>
          <w:sz w:val="22"/>
          <w:szCs w:val="22"/>
        </w:rPr>
        <w:t>Législation nationale :</w:t>
      </w:r>
    </w:p>
    <w:p w:rsidR="007C24BF" w:rsidRPr="00285DDF" w:rsidRDefault="007C24BF" w:rsidP="00C53D5F">
      <w:pPr>
        <w:ind w:left="360"/>
        <w:jc w:val="both"/>
        <w:rPr>
          <w:rFonts w:ascii="Marianne" w:hAnsi="Marianne"/>
          <w:sz w:val="22"/>
          <w:szCs w:val="22"/>
        </w:rPr>
      </w:pPr>
    </w:p>
    <w:p w:rsidR="005B2A7B" w:rsidRPr="00285DDF" w:rsidRDefault="005B2A7B" w:rsidP="00C53D5F">
      <w:pPr>
        <w:pStyle w:val="Paragraphedeliste"/>
        <w:numPr>
          <w:ilvl w:val="0"/>
          <w:numId w:val="37"/>
        </w:numPr>
        <w:jc w:val="both"/>
        <w:rPr>
          <w:rFonts w:ascii="Marianne" w:hAnsi="Marianne"/>
          <w:sz w:val="22"/>
          <w:szCs w:val="22"/>
        </w:rPr>
      </w:pPr>
      <w:r w:rsidRPr="00285DDF">
        <w:rPr>
          <w:rFonts w:ascii="Marianne" w:hAnsi="Marianne"/>
          <w:sz w:val="22"/>
          <w:szCs w:val="22"/>
        </w:rPr>
        <w:t>Arrêté du 8 octobre 2013 relatif aux règles sanitaires applicables aux activités de</w:t>
      </w:r>
      <w:r w:rsidR="007C24BF" w:rsidRPr="00285DDF">
        <w:rPr>
          <w:rFonts w:ascii="Marianne" w:hAnsi="Marianne"/>
          <w:sz w:val="22"/>
          <w:szCs w:val="22"/>
        </w:rPr>
        <w:t xml:space="preserve"> </w:t>
      </w:r>
      <w:r w:rsidRPr="00285DDF">
        <w:rPr>
          <w:rFonts w:ascii="Marianne" w:hAnsi="Marianne"/>
          <w:sz w:val="22"/>
          <w:szCs w:val="22"/>
        </w:rPr>
        <w:t>comme</w:t>
      </w:r>
      <w:r w:rsidR="007C24BF" w:rsidRPr="00285DDF">
        <w:rPr>
          <w:rFonts w:ascii="Marianne" w:hAnsi="Marianne"/>
          <w:sz w:val="22"/>
          <w:szCs w:val="22"/>
        </w:rPr>
        <w:t>rces, de détail et de transport</w:t>
      </w:r>
    </w:p>
    <w:p w:rsidR="00840C91" w:rsidRPr="00285DDF" w:rsidRDefault="00840C91" w:rsidP="00C53D5F">
      <w:pPr>
        <w:pStyle w:val="Paragraphedeliste"/>
        <w:ind w:left="1080"/>
        <w:jc w:val="both"/>
        <w:rPr>
          <w:rFonts w:ascii="Marianne" w:hAnsi="Marianne"/>
          <w:sz w:val="22"/>
          <w:szCs w:val="22"/>
        </w:rPr>
      </w:pPr>
    </w:p>
    <w:p w:rsidR="005B2A7B" w:rsidRPr="00285DDF" w:rsidRDefault="005B2A7B" w:rsidP="00C53D5F">
      <w:pPr>
        <w:pStyle w:val="Paragraphedeliste"/>
        <w:numPr>
          <w:ilvl w:val="0"/>
          <w:numId w:val="37"/>
        </w:numPr>
        <w:jc w:val="both"/>
        <w:rPr>
          <w:rFonts w:ascii="Marianne" w:hAnsi="Marianne"/>
          <w:sz w:val="22"/>
          <w:szCs w:val="22"/>
        </w:rPr>
      </w:pPr>
      <w:r w:rsidRPr="00285DDF">
        <w:rPr>
          <w:rFonts w:ascii="Marianne" w:hAnsi="Marianne"/>
          <w:sz w:val="22"/>
          <w:szCs w:val="22"/>
        </w:rPr>
        <w:t>Arrêté du 18 décembre 2009 relatif aux règles sanitaires applicables aux produits</w:t>
      </w:r>
      <w:r w:rsidR="007C24BF" w:rsidRPr="00285DDF">
        <w:rPr>
          <w:rFonts w:ascii="Marianne" w:hAnsi="Marianne"/>
          <w:sz w:val="22"/>
          <w:szCs w:val="22"/>
        </w:rPr>
        <w:t xml:space="preserve"> </w:t>
      </w:r>
      <w:r w:rsidRPr="00285DDF">
        <w:rPr>
          <w:rFonts w:ascii="Marianne" w:hAnsi="Marianne"/>
          <w:sz w:val="22"/>
          <w:szCs w:val="22"/>
        </w:rPr>
        <w:t>d’origine animale et aux de</w:t>
      </w:r>
      <w:r w:rsidR="007C24BF" w:rsidRPr="00285DDF">
        <w:rPr>
          <w:rFonts w:ascii="Marianne" w:hAnsi="Marianne"/>
          <w:sz w:val="22"/>
          <w:szCs w:val="22"/>
        </w:rPr>
        <w:t>nrées alimentaires en contenant</w:t>
      </w:r>
    </w:p>
    <w:p w:rsidR="007C24BF" w:rsidRPr="00285DDF" w:rsidRDefault="007C24BF" w:rsidP="00C53D5F">
      <w:pPr>
        <w:ind w:left="360"/>
        <w:jc w:val="both"/>
        <w:rPr>
          <w:rFonts w:ascii="Marianne" w:hAnsi="Marianne"/>
          <w:sz w:val="22"/>
          <w:szCs w:val="22"/>
        </w:rPr>
      </w:pPr>
    </w:p>
    <w:p w:rsidR="005B2A7B" w:rsidRPr="00285DDF" w:rsidRDefault="005B2A7B" w:rsidP="00C53D5F">
      <w:pPr>
        <w:pStyle w:val="Paragraphedeliste"/>
        <w:numPr>
          <w:ilvl w:val="0"/>
          <w:numId w:val="37"/>
        </w:numPr>
        <w:jc w:val="both"/>
        <w:rPr>
          <w:rFonts w:ascii="Marianne" w:hAnsi="Marianne"/>
          <w:sz w:val="22"/>
          <w:szCs w:val="22"/>
        </w:rPr>
      </w:pPr>
      <w:r w:rsidRPr="00285DDF">
        <w:rPr>
          <w:rFonts w:ascii="Marianne" w:hAnsi="Marianne"/>
          <w:sz w:val="22"/>
          <w:szCs w:val="22"/>
        </w:rPr>
        <w:t>Arrêté du 21 décembre 2009 relatif aux règles sanitaires applicables aux activités de</w:t>
      </w:r>
      <w:r w:rsidR="007C24BF" w:rsidRPr="00285DDF">
        <w:rPr>
          <w:rFonts w:ascii="Marianne" w:hAnsi="Marianne"/>
          <w:sz w:val="22"/>
          <w:szCs w:val="22"/>
        </w:rPr>
        <w:t xml:space="preserve"> </w:t>
      </w:r>
      <w:r w:rsidRPr="00285DDF">
        <w:rPr>
          <w:rFonts w:ascii="Marianne" w:hAnsi="Marianne"/>
          <w:sz w:val="22"/>
          <w:szCs w:val="22"/>
        </w:rPr>
        <w:t>commerce de détail, d’entreposage et de transport de produits d’origine animale et</w:t>
      </w:r>
      <w:r w:rsidR="007C24BF" w:rsidRPr="00285DDF">
        <w:rPr>
          <w:rFonts w:ascii="Marianne" w:hAnsi="Marianne"/>
          <w:sz w:val="22"/>
          <w:szCs w:val="22"/>
        </w:rPr>
        <w:t xml:space="preserve"> </w:t>
      </w:r>
      <w:r w:rsidRPr="00285DDF">
        <w:rPr>
          <w:rFonts w:ascii="Marianne" w:hAnsi="Marianne"/>
          <w:sz w:val="22"/>
          <w:szCs w:val="22"/>
        </w:rPr>
        <w:t>de</w:t>
      </w:r>
      <w:r w:rsidR="007C24BF" w:rsidRPr="00285DDF">
        <w:rPr>
          <w:rFonts w:ascii="Marianne" w:hAnsi="Marianne"/>
          <w:sz w:val="22"/>
          <w:szCs w:val="22"/>
        </w:rPr>
        <w:t>nrées alimentaires en contenant</w:t>
      </w:r>
    </w:p>
    <w:p w:rsidR="007C24BF" w:rsidRPr="00285DDF" w:rsidRDefault="007C24BF" w:rsidP="00C53D5F">
      <w:pPr>
        <w:pStyle w:val="Paragraphedeliste"/>
        <w:jc w:val="both"/>
        <w:rPr>
          <w:rFonts w:ascii="Marianne" w:hAnsi="Marianne"/>
          <w:sz w:val="22"/>
          <w:szCs w:val="22"/>
        </w:rPr>
      </w:pPr>
    </w:p>
    <w:p w:rsidR="005B2A7B" w:rsidRPr="00285DDF" w:rsidRDefault="005B2A7B" w:rsidP="00C53D5F">
      <w:pPr>
        <w:pStyle w:val="Paragraphedeliste"/>
        <w:numPr>
          <w:ilvl w:val="0"/>
          <w:numId w:val="37"/>
        </w:numPr>
        <w:jc w:val="both"/>
        <w:rPr>
          <w:rFonts w:ascii="Marianne" w:hAnsi="Marianne"/>
          <w:sz w:val="22"/>
          <w:szCs w:val="22"/>
        </w:rPr>
      </w:pPr>
      <w:r w:rsidRPr="00285DDF">
        <w:rPr>
          <w:rFonts w:ascii="Marianne" w:hAnsi="Marianne"/>
          <w:sz w:val="22"/>
          <w:szCs w:val="22"/>
        </w:rPr>
        <w:t>La loi bio déchets 2010 788 du 12 juillet 2010 dite « Loi Grenelle 2 », qui oblige les gros</w:t>
      </w:r>
      <w:r w:rsidR="007C24BF" w:rsidRPr="00285DDF">
        <w:rPr>
          <w:rFonts w:ascii="Marianne" w:hAnsi="Marianne"/>
          <w:sz w:val="22"/>
          <w:szCs w:val="22"/>
        </w:rPr>
        <w:t xml:space="preserve"> </w:t>
      </w:r>
      <w:r w:rsidRPr="00285DDF">
        <w:rPr>
          <w:rFonts w:ascii="Marianne" w:hAnsi="Marianne"/>
          <w:sz w:val="22"/>
          <w:szCs w:val="22"/>
        </w:rPr>
        <w:t>producteurs de déchets le tri à la source et la valorisation des bio déchets en compostage</w:t>
      </w:r>
      <w:r w:rsidR="007C24BF" w:rsidRPr="00285DDF">
        <w:rPr>
          <w:rFonts w:ascii="Marianne" w:hAnsi="Marianne"/>
          <w:sz w:val="22"/>
          <w:szCs w:val="22"/>
        </w:rPr>
        <w:t xml:space="preserve"> ou méthanisation</w:t>
      </w:r>
    </w:p>
    <w:p w:rsidR="007C24BF" w:rsidRPr="00285DDF" w:rsidRDefault="007C24BF" w:rsidP="00C53D5F">
      <w:pPr>
        <w:ind w:left="360"/>
        <w:jc w:val="both"/>
        <w:rPr>
          <w:rFonts w:ascii="Marianne" w:hAnsi="Marianne"/>
          <w:sz w:val="22"/>
          <w:szCs w:val="22"/>
        </w:rPr>
      </w:pPr>
    </w:p>
    <w:p w:rsidR="00637ADC" w:rsidRPr="00285DDF" w:rsidRDefault="00840C91" w:rsidP="00C53D5F">
      <w:pPr>
        <w:pStyle w:val="Paragraphedeliste"/>
        <w:numPr>
          <w:ilvl w:val="0"/>
          <w:numId w:val="37"/>
        </w:numPr>
        <w:jc w:val="both"/>
        <w:rPr>
          <w:rFonts w:ascii="Marianne" w:hAnsi="Marianne"/>
          <w:sz w:val="22"/>
          <w:szCs w:val="22"/>
        </w:rPr>
      </w:pPr>
      <w:r w:rsidRPr="00285DDF">
        <w:rPr>
          <w:rFonts w:ascii="Marianne" w:hAnsi="Marianne"/>
          <w:sz w:val="22"/>
          <w:szCs w:val="22"/>
        </w:rPr>
        <w:t>La loi du 30 octobre 2018 portant sur l’agriculture et l’alimentation, dite loi «</w:t>
      </w:r>
      <w:r w:rsidR="00D00C77" w:rsidRPr="00285DDF">
        <w:rPr>
          <w:rFonts w:ascii="Marianne" w:hAnsi="Marianne"/>
          <w:sz w:val="22"/>
          <w:szCs w:val="22"/>
        </w:rPr>
        <w:t xml:space="preserve"> </w:t>
      </w:r>
      <w:r w:rsidRPr="00285DDF">
        <w:rPr>
          <w:rFonts w:ascii="Marianne" w:hAnsi="Marianne"/>
          <w:sz w:val="22"/>
          <w:szCs w:val="22"/>
        </w:rPr>
        <w:t>EGAlim</w:t>
      </w:r>
      <w:r w:rsidR="00D00C77" w:rsidRPr="00285DDF">
        <w:rPr>
          <w:rFonts w:ascii="Marianne" w:hAnsi="Marianne"/>
          <w:sz w:val="22"/>
          <w:szCs w:val="22"/>
        </w:rPr>
        <w:t xml:space="preserve"> </w:t>
      </w:r>
      <w:r w:rsidRPr="00285DDF">
        <w:rPr>
          <w:rFonts w:ascii="Marianne" w:hAnsi="Marianne"/>
          <w:sz w:val="22"/>
          <w:szCs w:val="22"/>
        </w:rPr>
        <w:t xml:space="preserve">», </w:t>
      </w:r>
      <w:r w:rsidR="00637ADC" w:rsidRPr="00285DDF">
        <w:rPr>
          <w:rFonts w:ascii="Marianne" w:hAnsi="Marianne"/>
          <w:sz w:val="22"/>
          <w:szCs w:val="22"/>
        </w:rPr>
        <w:t xml:space="preserve">qui vise à renforcer la qualité sanitaire, environnementale et nutritionnelle des produits pour permettre à chacun d’accéder à une alimentation saine, de qualité et durable. </w:t>
      </w:r>
    </w:p>
    <w:p w:rsidR="00637ADC" w:rsidRPr="002B7198" w:rsidRDefault="00637ADC" w:rsidP="00C53D5F">
      <w:pPr>
        <w:pStyle w:val="Paragraphedeliste"/>
        <w:jc w:val="both"/>
        <w:rPr>
          <w:rFonts w:ascii="Marianne" w:hAnsi="Marianne"/>
          <w:sz w:val="22"/>
          <w:szCs w:val="22"/>
        </w:rPr>
      </w:pPr>
    </w:p>
    <w:p w:rsidR="00D00C77" w:rsidRPr="002B7198" w:rsidRDefault="00637ADC" w:rsidP="00C53D5F">
      <w:pPr>
        <w:pStyle w:val="Paragraphedeliste"/>
        <w:numPr>
          <w:ilvl w:val="0"/>
          <w:numId w:val="37"/>
        </w:numPr>
        <w:jc w:val="both"/>
        <w:rPr>
          <w:rFonts w:ascii="Marianne" w:hAnsi="Marianne"/>
          <w:sz w:val="22"/>
          <w:szCs w:val="22"/>
        </w:rPr>
      </w:pPr>
      <w:r w:rsidRPr="002B7198">
        <w:rPr>
          <w:rFonts w:ascii="Marianne" w:hAnsi="Marianne"/>
          <w:sz w:val="22"/>
          <w:szCs w:val="22"/>
        </w:rPr>
        <w:t>L</w:t>
      </w:r>
      <w:r w:rsidR="00840C91" w:rsidRPr="002B7198">
        <w:rPr>
          <w:rFonts w:ascii="Marianne" w:hAnsi="Marianne"/>
          <w:sz w:val="22"/>
          <w:szCs w:val="22"/>
        </w:rPr>
        <w:t>a loi du 22 août 2021 portant sur le climat, dite loi «</w:t>
      </w:r>
      <w:r w:rsidR="00D00C77" w:rsidRPr="002B7198">
        <w:rPr>
          <w:rFonts w:ascii="Marianne" w:hAnsi="Marianne"/>
          <w:sz w:val="22"/>
          <w:szCs w:val="22"/>
        </w:rPr>
        <w:t xml:space="preserve"> </w:t>
      </w:r>
      <w:r w:rsidR="00840C91" w:rsidRPr="002B7198">
        <w:rPr>
          <w:rFonts w:ascii="Marianne" w:hAnsi="Marianne"/>
          <w:sz w:val="22"/>
          <w:szCs w:val="22"/>
        </w:rPr>
        <w:t>Climat et résilience</w:t>
      </w:r>
      <w:r w:rsidR="00D00C77" w:rsidRPr="002B7198">
        <w:rPr>
          <w:rFonts w:ascii="Marianne" w:hAnsi="Marianne"/>
          <w:sz w:val="22"/>
          <w:szCs w:val="22"/>
        </w:rPr>
        <w:t xml:space="preserve"> </w:t>
      </w:r>
      <w:r w:rsidR="00840C91" w:rsidRPr="002B7198">
        <w:rPr>
          <w:rFonts w:ascii="Marianne" w:hAnsi="Marianne"/>
          <w:sz w:val="22"/>
          <w:szCs w:val="22"/>
        </w:rPr>
        <w:t>», prévoit un ensemble de mesures concernant la restauration collective publique et privée</w:t>
      </w:r>
      <w:r w:rsidRPr="002B7198">
        <w:rPr>
          <w:rFonts w:ascii="Marianne" w:hAnsi="Marianne"/>
          <w:sz w:val="22"/>
          <w:szCs w:val="22"/>
        </w:rPr>
        <w:t>.</w:t>
      </w:r>
      <w:r w:rsidR="00840C91" w:rsidRPr="002B7198">
        <w:rPr>
          <w:rFonts w:ascii="Marianne" w:hAnsi="Marianne"/>
          <w:sz w:val="22"/>
          <w:szCs w:val="22"/>
        </w:rPr>
        <w:t xml:space="preserve"> </w:t>
      </w:r>
    </w:p>
    <w:p w:rsidR="00D00C77" w:rsidRPr="002B7198" w:rsidRDefault="00D00C77" w:rsidP="00C53D5F">
      <w:pPr>
        <w:pStyle w:val="Paragraphedeliste"/>
        <w:jc w:val="both"/>
        <w:rPr>
          <w:rFonts w:ascii="Marianne" w:hAnsi="Marianne"/>
          <w:sz w:val="22"/>
          <w:szCs w:val="22"/>
        </w:rPr>
      </w:pPr>
    </w:p>
    <w:p w:rsidR="005B2A7B" w:rsidRPr="002B7198" w:rsidRDefault="00D00C77" w:rsidP="00C53D5F">
      <w:pPr>
        <w:pStyle w:val="Paragraphedeliste"/>
        <w:numPr>
          <w:ilvl w:val="0"/>
          <w:numId w:val="37"/>
        </w:numPr>
        <w:jc w:val="both"/>
        <w:rPr>
          <w:rFonts w:ascii="Marianne" w:hAnsi="Marianne"/>
          <w:sz w:val="22"/>
          <w:szCs w:val="22"/>
        </w:rPr>
      </w:pPr>
      <w:r w:rsidRPr="002B7198">
        <w:rPr>
          <w:rFonts w:ascii="Marianne" w:hAnsi="Marianne"/>
          <w:sz w:val="22"/>
          <w:szCs w:val="22"/>
        </w:rPr>
        <w:t>La loi de transition énergétique pour la croissance verte du 17 août 2015 vise à permettre à la France de contribuer plus efficacement à la lutte contre le dérèglement climatique et de renforcer son indépendance énergétique, tout en garantissant un accès à l’énergie à des coûts compétitifs.</w:t>
      </w:r>
    </w:p>
    <w:p w:rsidR="00D00C77" w:rsidRPr="002B7198" w:rsidRDefault="00D00C77" w:rsidP="00C53D5F">
      <w:pPr>
        <w:pStyle w:val="Paragraphedeliste"/>
        <w:jc w:val="both"/>
        <w:rPr>
          <w:rFonts w:ascii="Marianne" w:hAnsi="Marianne"/>
          <w:sz w:val="22"/>
          <w:szCs w:val="22"/>
        </w:rPr>
      </w:pPr>
    </w:p>
    <w:p w:rsidR="00D00C77" w:rsidRPr="002B7198" w:rsidRDefault="00D00C77" w:rsidP="00C53D5F">
      <w:pPr>
        <w:pStyle w:val="Paragraphedeliste"/>
        <w:numPr>
          <w:ilvl w:val="0"/>
          <w:numId w:val="37"/>
        </w:numPr>
        <w:jc w:val="both"/>
        <w:rPr>
          <w:rFonts w:ascii="Marianne" w:hAnsi="Marianne"/>
          <w:sz w:val="22"/>
          <w:szCs w:val="22"/>
        </w:rPr>
      </w:pPr>
      <w:r w:rsidRPr="002B7198">
        <w:rPr>
          <w:rFonts w:ascii="Marianne" w:hAnsi="Marianne"/>
          <w:sz w:val="22"/>
          <w:szCs w:val="22"/>
        </w:rPr>
        <w:t xml:space="preserve">La loi relative à la lutte contre le gaspillage et à l'économie circulaire (Agec), promulguée le 10 février 2020, vise à transformer le modèle économique linéaire actuel </w:t>
      </w:r>
      <w:r w:rsidRPr="002B7198">
        <w:rPr>
          <w:rFonts w:ascii="Marianne" w:hAnsi="Marianne"/>
          <w:sz w:val="22"/>
          <w:szCs w:val="22"/>
        </w:rPr>
        <w:lastRenderedPageBreak/>
        <w:t>(produire, consommer, jeter) en un modèle circulaire plus durable, où les ressources sont réutilisées, recyclées et valorisées.</w:t>
      </w:r>
    </w:p>
    <w:p w:rsidR="00D00C77" w:rsidRPr="00285DDF" w:rsidRDefault="00D00C77" w:rsidP="00C53D5F">
      <w:pPr>
        <w:ind w:left="360"/>
        <w:jc w:val="both"/>
        <w:rPr>
          <w:rFonts w:ascii="Marianne" w:hAnsi="Marianne"/>
          <w:sz w:val="22"/>
          <w:szCs w:val="22"/>
        </w:rPr>
      </w:pPr>
    </w:p>
    <w:p w:rsidR="007C24BF" w:rsidRPr="00285DDF" w:rsidRDefault="007C24BF" w:rsidP="00C53D5F">
      <w:pPr>
        <w:pStyle w:val="Titre2"/>
        <w:jc w:val="both"/>
        <w:rPr>
          <w:rFonts w:ascii="Marianne" w:hAnsi="Marianne"/>
        </w:rPr>
      </w:pPr>
      <w:r w:rsidRPr="00285DDF">
        <w:rPr>
          <w:rFonts w:ascii="Marianne" w:hAnsi="Marianne"/>
        </w:rPr>
        <w:t>Concernant la traçabilité</w:t>
      </w:r>
    </w:p>
    <w:p w:rsidR="007C24BF" w:rsidRPr="00285DDF" w:rsidRDefault="007C24BF" w:rsidP="00C53D5F">
      <w:pPr>
        <w:ind w:left="360"/>
        <w:jc w:val="both"/>
        <w:rPr>
          <w:rFonts w:ascii="Marianne" w:hAnsi="Marianne"/>
          <w:sz w:val="22"/>
          <w:szCs w:val="22"/>
        </w:rPr>
      </w:pPr>
    </w:p>
    <w:p w:rsidR="007C24BF" w:rsidRPr="00285DDF" w:rsidRDefault="007C24BF" w:rsidP="00C53D5F">
      <w:pPr>
        <w:pStyle w:val="Paragraphedeliste"/>
        <w:numPr>
          <w:ilvl w:val="0"/>
          <w:numId w:val="38"/>
        </w:numPr>
        <w:jc w:val="both"/>
        <w:rPr>
          <w:rFonts w:ascii="Marianne" w:hAnsi="Marianne"/>
          <w:sz w:val="22"/>
          <w:szCs w:val="22"/>
        </w:rPr>
      </w:pPr>
      <w:r w:rsidRPr="00285DDF">
        <w:rPr>
          <w:rFonts w:ascii="Marianne" w:hAnsi="Marianne"/>
          <w:sz w:val="22"/>
          <w:szCs w:val="22"/>
        </w:rPr>
        <w:t>Règlement (CE) N° 178/2002 du Parlement Européen et du Pouvoir adjudicateur du 28</w:t>
      </w:r>
      <w:r w:rsidR="00CE5928" w:rsidRPr="00285DDF">
        <w:rPr>
          <w:rFonts w:ascii="Marianne" w:hAnsi="Marianne"/>
          <w:sz w:val="22"/>
          <w:szCs w:val="22"/>
        </w:rPr>
        <w:t xml:space="preserve"> </w:t>
      </w:r>
      <w:r w:rsidRPr="00285DDF">
        <w:rPr>
          <w:rFonts w:ascii="Marianne" w:hAnsi="Marianne"/>
          <w:sz w:val="22"/>
          <w:szCs w:val="22"/>
        </w:rPr>
        <w:t>janvier 2002 établissant les principes généraux et les prescriptions générales de la législation alimentaire, instituant l'Autorité européenne de sécurité des aliments et fixant des procédures relatives à la sécurité des denrées alimentaires</w:t>
      </w:r>
    </w:p>
    <w:p w:rsidR="007C24BF" w:rsidRPr="00285DDF" w:rsidRDefault="007C24BF" w:rsidP="00C53D5F">
      <w:pPr>
        <w:ind w:left="360"/>
        <w:jc w:val="both"/>
        <w:rPr>
          <w:rFonts w:ascii="Marianne" w:hAnsi="Marianne"/>
          <w:sz w:val="22"/>
          <w:szCs w:val="22"/>
        </w:rPr>
      </w:pPr>
    </w:p>
    <w:p w:rsidR="007C24BF" w:rsidRPr="00285DDF" w:rsidRDefault="007C24BF" w:rsidP="00C53D5F">
      <w:pPr>
        <w:pStyle w:val="Paragraphedeliste"/>
        <w:numPr>
          <w:ilvl w:val="0"/>
          <w:numId w:val="38"/>
        </w:numPr>
        <w:jc w:val="both"/>
        <w:rPr>
          <w:rFonts w:ascii="Marianne" w:hAnsi="Marianne"/>
          <w:sz w:val="22"/>
          <w:szCs w:val="22"/>
        </w:rPr>
      </w:pPr>
      <w:r w:rsidRPr="00285DDF">
        <w:rPr>
          <w:rFonts w:ascii="Marianne" w:hAnsi="Marianne"/>
          <w:sz w:val="22"/>
          <w:szCs w:val="22"/>
        </w:rPr>
        <w:t>Règlement (CE) n° 1760/2000 du parlement européen et du Pouvoir adjudicateur du 17</w:t>
      </w:r>
      <w:r w:rsidR="00CE5928" w:rsidRPr="00285DDF">
        <w:rPr>
          <w:rFonts w:ascii="Marianne" w:hAnsi="Marianne"/>
          <w:sz w:val="22"/>
          <w:szCs w:val="22"/>
        </w:rPr>
        <w:t xml:space="preserve"> </w:t>
      </w:r>
      <w:r w:rsidRPr="00285DDF">
        <w:rPr>
          <w:rFonts w:ascii="Marianne" w:hAnsi="Marianne"/>
          <w:sz w:val="22"/>
          <w:szCs w:val="22"/>
        </w:rPr>
        <w:t>juillet 2000 établissant un système d'identification et d'enregistrement des bovins et concernant l'étiquetage de la viande bovine et des produits à base de viande bovine, et abrogeant le règlement (CE) n° 820/97 du Pouvoir adjudicateur</w:t>
      </w:r>
    </w:p>
    <w:p w:rsidR="007C24BF" w:rsidRPr="00285DDF" w:rsidRDefault="007C24BF" w:rsidP="00C53D5F">
      <w:pPr>
        <w:ind w:left="360"/>
        <w:jc w:val="both"/>
        <w:rPr>
          <w:rFonts w:ascii="Marianne" w:hAnsi="Marianne"/>
          <w:sz w:val="22"/>
          <w:szCs w:val="22"/>
        </w:rPr>
      </w:pPr>
    </w:p>
    <w:p w:rsidR="007C24BF" w:rsidRPr="00285DDF" w:rsidRDefault="007C24BF" w:rsidP="00C53D5F">
      <w:pPr>
        <w:pStyle w:val="Paragraphedeliste"/>
        <w:numPr>
          <w:ilvl w:val="0"/>
          <w:numId w:val="38"/>
        </w:numPr>
        <w:jc w:val="both"/>
        <w:rPr>
          <w:rFonts w:ascii="Marianne" w:hAnsi="Marianne"/>
          <w:sz w:val="22"/>
          <w:szCs w:val="22"/>
        </w:rPr>
      </w:pPr>
      <w:r w:rsidRPr="00285DDF">
        <w:rPr>
          <w:rFonts w:ascii="Marianne" w:hAnsi="Marianne"/>
          <w:sz w:val="22"/>
          <w:szCs w:val="22"/>
        </w:rPr>
        <w:t>Règlement (CE) N° 1825/2000 de la commission du 25 août 2000 portant modalités d'application du règlement (CE) n° 1760/2000 du Parlement européen et du Pouvoir adjudicateur en ce qui concerne l'étiquetage de la viande bovine et des produits à base de viande bovine</w:t>
      </w:r>
    </w:p>
    <w:p w:rsidR="007C24BF" w:rsidRPr="00285DDF" w:rsidRDefault="007C24BF" w:rsidP="00C53D5F">
      <w:pPr>
        <w:ind w:left="360"/>
        <w:jc w:val="both"/>
        <w:rPr>
          <w:rFonts w:ascii="Marianne" w:hAnsi="Marianne"/>
          <w:sz w:val="22"/>
          <w:szCs w:val="22"/>
        </w:rPr>
      </w:pPr>
    </w:p>
    <w:p w:rsidR="007C24BF" w:rsidRPr="00285DDF" w:rsidRDefault="007C24BF" w:rsidP="00C53D5F">
      <w:pPr>
        <w:pStyle w:val="Paragraphedeliste"/>
        <w:numPr>
          <w:ilvl w:val="0"/>
          <w:numId w:val="38"/>
        </w:numPr>
        <w:jc w:val="both"/>
        <w:rPr>
          <w:rFonts w:ascii="Marianne" w:hAnsi="Marianne"/>
          <w:sz w:val="22"/>
          <w:szCs w:val="22"/>
        </w:rPr>
      </w:pPr>
      <w:r w:rsidRPr="00285DDF">
        <w:rPr>
          <w:rFonts w:ascii="Marianne" w:hAnsi="Marianne"/>
          <w:sz w:val="22"/>
          <w:szCs w:val="22"/>
        </w:rPr>
        <w:t>Décret n°2002-1465 du 17 décembre 2002 relatif à l'étiquetage des viandes bovines dans les établissements de restauration</w:t>
      </w:r>
    </w:p>
    <w:p w:rsidR="007C24BF" w:rsidRPr="00285DDF" w:rsidRDefault="007C24BF" w:rsidP="00C53D5F">
      <w:pPr>
        <w:ind w:left="360"/>
        <w:jc w:val="both"/>
        <w:rPr>
          <w:rFonts w:ascii="Marianne" w:hAnsi="Marianne"/>
          <w:sz w:val="22"/>
          <w:szCs w:val="22"/>
        </w:rPr>
      </w:pPr>
    </w:p>
    <w:p w:rsidR="007C24BF" w:rsidRPr="00285DDF" w:rsidRDefault="007C24BF" w:rsidP="00C53D5F">
      <w:pPr>
        <w:pStyle w:val="Paragraphedeliste"/>
        <w:numPr>
          <w:ilvl w:val="0"/>
          <w:numId w:val="38"/>
        </w:numPr>
        <w:jc w:val="both"/>
        <w:rPr>
          <w:rFonts w:ascii="Marianne" w:hAnsi="Marianne"/>
          <w:sz w:val="22"/>
          <w:szCs w:val="22"/>
        </w:rPr>
      </w:pPr>
      <w:r w:rsidRPr="00285DDF">
        <w:rPr>
          <w:rFonts w:ascii="Marianne" w:hAnsi="Marianne"/>
          <w:sz w:val="22"/>
          <w:szCs w:val="22"/>
        </w:rPr>
        <w:t>Décret 99-260 du 2 avril 1999 relatif à l’étiquetage et à la traçabilité des viandes bovines.</w:t>
      </w:r>
    </w:p>
    <w:p w:rsidR="007C24BF" w:rsidRPr="00285DDF" w:rsidRDefault="007C24BF" w:rsidP="00C53D5F">
      <w:pPr>
        <w:ind w:left="360"/>
        <w:jc w:val="both"/>
        <w:rPr>
          <w:rFonts w:ascii="Marianne" w:hAnsi="Marianne"/>
          <w:sz w:val="22"/>
          <w:szCs w:val="22"/>
        </w:rPr>
      </w:pPr>
    </w:p>
    <w:p w:rsidR="002D5E60" w:rsidRPr="00285DDF" w:rsidRDefault="002D5E60" w:rsidP="00C53D5F">
      <w:pPr>
        <w:ind w:left="360"/>
        <w:jc w:val="both"/>
        <w:rPr>
          <w:rFonts w:ascii="Marianne" w:hAnsi="Marianne"/>
          <w:sz w:val="22"/>
          <w:szCs w:val="22"/>
        </w:rPr>
      </w:pPr>
    </w:p>
    <w:p w:rsidR="008304F4" w:rsidRPr="00285DDF" w:rsidRDefault="008304F4" w:rsidP="00C53D5F">
      <w:pPr>
        <w:pStyle w:val="Titre2"/>
        <w:jc w:val="both"/>
        <w:rPr>
          <w:rFonts w:ascii="Marianne" w:hAnsi="Marianne"/>
        </w:rPr>
      </w:pPr>
      <w:r w:rsidRPr="00285DDF">
        <w:rPr>
          <w:rFonts w:ascii="Marianne" w:hAnsi="Marianne"/>
        </w:rPr>
        <w:t>Concernant la sécurité alimentaire et les toxi-infections alimentaires</w:t>
      </w:r>
    </w:p>
    <w:p w:rsidR="008304F4" w:rsidRPr="00285DDF" w:rsidRDefault="008304F4" w:rsidP="00C53D5F">
      <w:pPr>
        <w:ind w:left="360"/>
        <w:jc w:val="both"/>
        <w:rPr>
          <w:rFonts w:ascii="Marianne" w:hAnsi="Marianne"/>
          <w:sz w:val="22"/>
          <w:szCs w:val="22"/>
        </w:rPr>
      </w:pPr>
    </w:p>
    <w:p w:rsidR="008304F4" w:rsidRPr="00285DDF" w:rsidRDefault="008304F4" w:rsidP="00C53D5F">
      <w:pPr>
        <w:pStyle w:val="Paragraphedeliste"/>
        <w:numPr>
          <w:ilvl w:val="0"/>
          <w:numId w:val="39"/>
        </w:numPr>
        <w:jc w:val="both"/>
        <w:rPr>
          <w:rFonts w:ascii="Marianne" w:hAnsi="Marianne"/>
          <w:sz w:val="22"/>
          <w:szCs w:val="22"/>
        </w:rPr>
      </w:pPr>
      <w:r w:rsidRPr="00285DDF">
        <w:rPr>
          <w:rFonts w:ascii="Marianne" w:hAnsi="Marianne"/>
          <w:sz w:val="22"/>
          <w:szCs w:val="22"/>
        </w:rPr>
        <w:t>Directive 2001/95/CEE du parlement européen et du Pouvoir adjudicateur du 3 décembre</w:t>
      </w:r>
      <w:r w:rsidR="00CE5928" w:rsidRPr="00285DDF">
        <w:rPr>
          <w:rFonts w:ascii="Marianne" w:hAnsi="Marianne"/>
          <w:sz w:val="22"/>
          <w:szCs w:val="22"/>
        </w:rPr>
        <w:t xml:space="preserve"> </w:t>
      </w:r>
      <w:r w:rsidRPr="00285DDF">
        <w:rPr>
          <w:rFonts w:ascii="Marianne" w:hAnsi="Marianne"/>
          <w:sz w:val="22"/>
          <w:szCs w:val="22"/>
        </w:rPr>
        <w:t>2001 relative à la sécurité générale des produits.</w:t>
      </w:r>
    </w:p>
    <w:p w:rsidR="008304F4" w:rsidRPr="00285DDF" w:rsidRDefault="008304F4" w:rsidP="00C53D5F">
      <w:pPr>
        <w:ind w:left="360"/>
        <w:jc w:val="both"/>
        <w:rPr>
          <w:rFonts w:ascii="Marianne" w:hAnsi="Marianne"/>
          <w:sz w:val="22"/>
          <w:szCs w:val="22"/>
        </w:rPr>
      </w:pPr>
    </w:p>
    <w:p w:rsidR="008304F4" w:rsidRPr="00285DDF" w:rsidRDefault="008304F4" w:rsidP="00C53D5F">
      <w:pPr>
        <w:pStyle w:val="Paragraphedeliste"/>
        <w:numPr>
          <w:ilvl w:val="0"/>
          <w:numId w:val="39"/>
        </w:numPr>
        <w:jc w:val="both"/>
        <w:rPr>
          <w:rFonts w:ascii="Marianne" w:hAnsi="Marianne"/>
          <w:sz w:val="22"/>
          <w:szCs w:val="22"/>
        </w:rPr>
      </w:pPr>
      <w:r w:rsidRPr="00285DDF">
        <w:rPr>
          <w:rFonts w:ascii="Marianne" w:hAnsi="Marianne"/>
          <w:sz w:val="22"/>
          <w:szCs w:val="22"/>
        </w:rPr>
        <w:t>Décret n° 2007-766 du 10 mai 2007 portant application du code de la consommation en ce qui concerne les matériaux et les objets destinés à entrer en contact avec les denrées alimentaires.</w:t>
      </w:r>
    </w:p>
    <w:p w:rsidR="008304F4" w:rsidRPr="00285DDF" w:rsidRDefault="008304F4" w:rsidP="00C53D5F">
      <w:pPr>
        <w:ind w:left="360"/>
        <w:jc w:val="both"/>
        <w:rPr>
          <w:rFonts w:ascii="Marianne" w:hAnsi="Marianne"/>
          <w:sz w:val="22"/>
          <w:szCs w:val="22"/>
        </w:rPr>
      </w:pPr>
    </w:p>
    <w:p w:rsidR="008304F4" w:rsidRPr="00285DDF" w:rsidRDefault="008304F4" w:rsidP="00C53D5F">
      <w:pPr>
        <w:pStyle w:val="Paragraphedeliste"/>
        <w:numPr>
          <w:ilvl w:val="0"/>
          <w:numId w:val="39"/>
        </w:numPr>
        <w:jc w:val="both"/>
        <w:rPr>
          <w:rFonts w:ascii="Marianne" w:hAnsi="Marianne"/>
          <w:sz w:val="22"/>
          <w:szCs w:val="22"/>
        </w:rPr>
      </w:pPr>
      <w:r w:rsidRPr="00285DDF">
        <w:rPr>
          <w:rFonts w:ascii="Marianne" w:hAnsi="Marianne"/>
          <w:sz w:val="22"/>
          <w:szCs w:val="22"/>
        </w:rPr>
        <w:t xml:space="preserve">Décret n° 92-631 du 8 juillet 1992 relatif aux matériaux et objets destinés à entrer en contact avec les denrées, produits et boissons pour l’alimentation de l’homme ou des animaux. </w:t>
      </w:r>
      <w:r w:rsidRPr="00285DDF">
        <w:rPr>
          <w:rFonts w:ascii="Marianne" w:hAnsi="Marianne"/>
          <w:sz w:val="22"/>
          <w:szCs w:val="22"/>
        </w:rPr>
        <w:br/>
        <w:t>Sauf concernant les matériaux et objets destinés à entrer en contact avec les denrées alimentaires compris dans le champ d'application du règlement du 27 octobre 2004</w:t>
      </w:r>
      <w:r w:rsidR="00CE5928" w:rsidRPr="00285DDF">
        <w:rPr>
          <w:rFonts w:ascii="Marianne" w:hAnsi="Marianne"/>
          <w:sz w:val="22"/>
          <w:szCs w:val="22"/>
        </w:rPr>
        <w:t xml:space="preserve"> </w:t>
      </w:r>
      <w:r w:rsidRPr="00285DDF">
        <w:rPr>
          <w:rFonts w:ascii="Marianne" w:hAnsi="Marianne"/>
          <w:sz w:val="22"/>
          <w:szCs w:val="22"/>
        </w:rPr>
        <w:t>susvisé. [Règlement CE/1935/2004 du 27 octobre 2004]</w:t>
      </w:r>
    </w:p>
    <w:p w:rsidR="008304F4" w:rsidRPr="00285DDF" w:rsidRDefault="008304F4" w:rsidP="00C53D5F">
      <w:pPr>
        <w:ind w:left="360"/>
        <w:jc w:val="both"/>
        <w:rPr>
          <w:rFonts w:ascii="Marianne" w:hAnsi="Marianne"/>
          <w:sz w:val="22"/>
          <w:szCs w:val="22"/>
        </w:rPr>
      </w:pPr>
    </w:p>
    <w:p w:rsidR="008304F4" w:rsidRPr="00285DDF" w:rsidRDefault="008304F4" w:rsidP="00C53D5F">
      <w:pPr>
        <w:pStyle w:val="Paragraphedeliste"/>
        <w:numPr>
          <w:ilvl w:val="0"/>
          <w:numId w:val="39"/>
        </w:numPr>
        <w:jc w:val="both"/>
        <w:rPr>
          <w:rFonts w:ascii="Marianne" w:hAnsi="Marianne"/>
          <w:sz w:val="22"/>
          <w:szCs w:val="22"/>
        </w:rPr>
      </w:pPr>
      <w:r w:rsidRPr="00285DDF">
        <w:rPr>
          <w:rFonts w:ascii="Marianne" w:hAnsi="Marianne"/>
          <w:sz w:val="22"/>
          <w:szCs w:val="22"/>
        </w:rPr>
        <w:t>Règlement (CE) N° 2073/2005 de la Commission du 15 novembre 2005 concernant les critères microbiologiques applicables aux denrées alimentaires</w:t>
      </w:r>
    </w:p>
    <w:p w:rsidR="008304F4" w:rsidRPr="00285DDF" w:rsidRDefault="008304F4" w:rsidP="00C53D5F">
      <w:pPr>
        <w:ind w:left="360"/>
        <w:jc w:val="both"/>
        <w:rPr>
          <w:rFonts w:ascii="Marianne" w:hAnsi="Marianne"/>
          <w:sz w:val="22"/>
          <w:szCs w:val="22"/>
        </w:rPr>
      </w:pPr>
    </w:p>
    <w:p w:rsidR="008304F4" w:rsidRPr="00285DDF" w:rsidRDefault="008304F4" w:rsidP="00C53D5F">
      <w:pPr>
        <w:pStyle w:val="Paragraphedeliste"/>
        <w:numPr>
          <w:ilvl w:val="0"/>
          <w:numId w:val="39"/>
        </w:numPr>
        <w:jc w:val="both"/>
        <w:rPr>
          <w:rFonts w:ascii="Marianne" w:hAnsi="Marianne"/>
          <w:sz w:val="22"/>
          <w:szCs w:val="22"/>
        </w:rPr>
      </w:pPr>
      <w:r w:rsidRPr="00285DDF">
        <w:rPr>
          <w:rFonts w:ascii="Marianne" w:hAnsi="Marianne"/>
          <w:sz w:val="22"/>
          <w:szCs w:val="22"/>
        </w:rPr>
        <w:t>Circulaire (des ministères de la santé, de l'agriculture et de l'économie) relative à la conduite à tenir en cas de toxi-infections alimentaires collectives du 19 avril 1988</w:t>
      </w:r>
    </w:p>
    <w:p w:rsidR="005B2A7B" w:rsidRPr="00285DDF" w:rsidRDefault="005B2A7B" w:rsidP="00C53D5F">
      <w:pPr>
        <w:ind w:left="360"/>
        <w:jc w:val="both"/>
        <w:rPr>
          <w:rFonts w:ascii="Marianne" w:hAnsi="Marianne"/>
          <w:sz w:val="22"/>
          <w:szCs w:val="22"/>
        </w:rPr>
      </w:pPr>
    </w:p>
    <w:p w:rsidR="002D5E60" w:rsidRPr="00285DDF" w:rsidRDefault="002D5E60" w:rsidP="00C53D5F">
      <w:pPr>
        <w:ind w:left="360"/>
        <w:jc w:val="both"/>
        <w:rPr>
          <w:rFonts w:ascii="Marianne" w:hAnsi="Marianne"/>
          <w:sz w:val="22"/>
          <w:szCs w:val="22"/>
        </w:rPr>
      </w:pPr>
    </w:p>
    <w:p w:rsidR="002D5E60" w:rsidRPr="00285DDF" w:rsidRDefault="002D5E60" w:rsidP="00C53D5F">
      <w:pPr>
        <w:ind w:left="360"/>
        <w:jc w:val="both"/>
        <w:rPr>
          <w:rFonts w:ascii="Marianne" w:hAnsi="Marianne"/>
          <w:sz w:val="22"/>
          <w:szCs w:val="22"/>
        </w:rPr>
      </w:pPr>
    </w:p>
    <w:p w:rsidR="005B2A7B" w:rsidRPr="00285DDF" w:rsidRDefault="005B2A7B" w:rsidP="00C53D5F">
      <w:pPr>
        <w:pStyle w:val="Titre2"/>
        <w:jc w:val="both"/>
        <w:rPr>
          <w:rFonts w:ascii="Marianne" w:hAnsi="Marianne"/>
        </w:rPr>
      </w:pPr>
      <w:r w:rsidRPr="00285DDF">
        <w:rPr>
          <w:rFonts w:ascii="Marianne" w:hAnsi="Marianne"/>
        </w:rPr>
        <w:t>Concernant les additifs</w:t>
      </w:r>
    </w:p>
    <w:p w:rsidR="008304F4" w:rsidRPr="00285DDF" w:rsidRDefault="008304F4" w:rsidP="00C53D5F">
      <w:pPr>
        <w:ind w:left="360"/>
        <w:jc w:val="both"/>
        <w:rPr>
          <w:rFonts w:ascii="Marianne" w:hAnsi="Marianne"/>
          <w:sz w:val="22"/>
          <w:szCs w:val="22"/>
        </w:rPr>
      </w:pPr>
    </w:p>
    <w:p w:rsidR="005B2A7B" w:rsidRPr="00285DDF" w:rsidRDefault="005B2A7B" w:rsidP="00C53D5F">
      <w:pPr>
        <w:pStyle w:val="Paragraphedeliste"/>
        <w:numPr>
          <w:ilvl w:val="0"/>
          <w:numId w:val="46"/>
        </w:numPr>
        <w:jc w:val="both"/>
        <w:rPr>
          <w:rFonts w:ascii="Marianne" w:hAnsi="Marianne"/>
          <w:sz w:val="22"/>
          <w:szCs w:val="22"/>
        </w:rPr>
      </w:pPr>
      <w:r w:rsidRPr="00285DDF">
        <w:rPr>
          <w:rFonts w:ascii="Marianne" w:hAnsi="Marianne"/>
          <w:sz w:val="22"/>
          <w:szCs w:val="22"/>
        </w:rPr>
        <w:t>Directive 95/2/CE du parlement européen et du Pouvoir adjudicateur du 20 février 1995 concernant les additifs alimentaires autres que les colorants et les édulcorants,</w:t>
      </w:r>
    </w:p>
    <w:p w:rsidR="008304F4" w:rsidRPr="00285DDF" w:rsidRDefault="008304F4" w:rsidP="00C53D5F">
      <w:pPr>
        <w:ind w:left="360"/>
        <w:jc w:val="both"/>
        <w:rPr>
          <w:rFonts w:ascii="Marianne" w:hAnsi="Marianne"/>
          <w:sz w:val="22"/>
          <w:szCs w:val="22"/>
        </w:rPr>
      </w:pPr>
    </w:p>
    <w:p w:rsidR="005B2A7B" w:rsidRPr="00285DDF" w:rsidRDefault="005B2A7B" w:rsidP="00C53D5F">
      <w:pPr>
        <w:pStyle w:val="Paragraphedeliste"/>
        <w:numPr>
          <w:ilvl w:val="0"/>
          <w:numId w:val="46"/>
        </w:numPr>
        <w:jc w:val="both"/>
        <w:rPr>
          <w:rFonts w:ascii="Marianne" w:hAnsi="Marianne"/>
          <w:sz w:val="22"/>
          <w:szCs w:val="22"/>
        </w:rPr>
      </w:pPr>
      <w:r w:rsidRPr="00285DDF">
        <w:rPr>
          <w:rFonts w:ascii="Marianne" w:hAnsi="Marianne"/>
          <w:sz w:val="22"/>
          <w:szCs w:val="22"/>
        </w:rPr>
        <w:t>Règlement CE/1333/2008 du Parlement européen et du Pouvoir adjudicateur du 16 décembre 2008 sur les additifs alimentaires ainsi que leurs transpositions en droit national.</w:t>
      </w:r>
    </w:p>
    <w:p w:rsidR="008304F4" w:rsidRPr="00285DDF" w:rsidRDefault="008304F4" w:rsidP="00C53D5F">
      <w:pPr>
        <w:ind w:left="360"/>
        <w:jc w:val="both"/>
        <w:rPr>
          <w:rFonts w:ascii="Marianne" w:hAnsi="Marianne"/>
          <w:sz w:val="22"/>
          <w:szCs w:val="22"/>
        </w:rPr>
      </w:pPr>
    </w:p>
    <w:p w:rsidR="005B2A7B" w:rsidRPr="00285DDF" w:rsidRDefault="005B2A7B" w:rsidP="00C53D5F">
      <w:pPr>
        <w:pStyle w:val="Titre2"/>
        <w:jc w:val="both"/>
        <w:rPr>
          <w:rFonts w:ascii="Marianne" w:hAnsi="Marianne"/>
        </w:rPr>
      </w:pPr>
      <w:r w:rsidRPr="00285DDF">
        <w:rPr>
          <w:rFonts w:ascii="Marianne" w:hAnsi="Marianne"/>
        </w:rPr>
        <w:t>Concernant le personnel</w:t>
      </w:r>
    </w:p>
    <w:p w:rsidR="008304F4" w:rsidRPr="00285DDF" w:rsidRDefault="008304F4" w:rsidP="00C53D5F">
      <w:pPr>
        <w:ind w:left="360"/>
        <w:jc w:val="both"/>
        <w:rPr>
          <w:rFonts w:ascii="Marianne" w:hAnsi="Marianne"/>
          <w:sz w:val="22"/>
          <w:szCs w:val="22"/>
        </w:rPr>
      </w:pPr>
    </w:p>
    <w:p w:rsidR="005B2A7B" w:rsidRPr="00285DDF" w:rsidRDefault="005B2A7B" w:rsidP="00C53D5F">
      <w:pPr>
        <w:pStyle w:val="Paragraphedeliste"/>
        <w:numPr>
          <w:ilvl w:val="0"/>
          <w:numId w:val="47"/>
        </w:numPr>
        <w:jc w:val="both"/>
        <w:rPr>
          <w:rFonts w:ascii="Marianne" w:hAnsi="Marianne"/>
          <w:sz w:val="22"/>
          <w:szCs w:val="22"/>
        </w:rPr>
      </w:pPr>
      <w:r w:rsidRPr="00285DDF">
        <w:rPr>
          <w:rFonts w:ascii="Marianne" w:hAnsi="Marianne"/>
          <w:sz w:val="22"/>
          <w:szCs w:val="22"/>
        </w:rPr>
        <w:t>Arrêté interministériel du 10 mars 1977 relatif à l’état de santé et à l’hygiène du personnel appelé à manipuler les denrées animales ou d’origine animale (JO du 31 mars 1977).</w:t>
      </w:r>
    </w:p>
    <w:p w:rsidR="008304F4" w:rsidRPr="00285DDF" w:rsidRDefault="008304F4" w:rsidP="00C53D5F">
      <w:pPr>
        <w:ind w:left="360"/>
        <w:jc w:val="both"/>
        <w:rPr>
          <w:rFonts w:ascii="Marianne" w:hAnsi="Marianne"/>
          <w:sz w:val="22"/>
          <w:szCs w:val="22"/>
        </w:rPr>
      </w:pPr>
    </w:p>
    <w:p w:rsidR="005B2A7B" w:rsidRPr="00285DDF" w:rsidRDefault="005B2A7B" w:rsidP="00C53D5F">
      <w:pPr>
        <w:pStyle w:val="Paragraphedeliste"/>
        <w:numPr>
          <w:ilvl w:val="0"/>
          <w:numId w:val="47"/>
        </w:numPr>
        <w:jc w:val="both"/>
        <w:rPr>
          <w:rFonts w:ascii="Marianne" w:hAnsi="Marianne"/>
          <w:sz w:val="22"/>
          <w:szCs w:val="22"/>
        </w:rPr>
      </w:pPr>
      <w:r w:rsidRPr="00285DDF">
        <w:rPr>
          <w:rFonts w:ascii="Marianne" w:hAnsi="Marianne"/>
          <w:sz w:val="22"/>
          <w:szCs w:val="22"/>
        </w:rPr>
        <w:t>Décret 99-363 du 6 mai 1999 fixant la liste des maladies faisant l’objet d’une transmission obligatoire de données individuelles à l’autorité sanitaire et modifiant le code de la santé publique (JORF du 13 mai 1999) complété par le décret n°2001-910 du 5 octobre 2001 (Journal officiel du 8 octobre 2001), le décret n°2002-1089 du 7 août 2002 (Journal officiel du 11 août 2002) et le décret n°99-362 du 6 mai 1999 modifié par le décret n°2001-437 du 16 mai 2001 fixant les modalités de transmission à l'autorité sanitaire de données individuelles concernant les maladies visées à l'article L. 3113-1 du code de la santé publique et modifiant les articles R.11-2 et R.11-3 du code de la santé publique (Journal officiel du 23 mai 2001)</w:t>
      </w:r>
    </w:p>
    <w:p w:rsidR="008304F4" w:rsidRPr="00285DDF" w:rsidRDefault="008304F4" w:rsidP="00C53D5F">
      <w:pPr>
        <w:ind w:left="360"/>
        <w:jc w:val="both"/>
        <w:rPr>
          <w:rFonts w:ascii="Marianne" w:hAnsi="Marianne"/>
          <w:sz w:val="22"/>
          <w:szCs w:val="22"/>
        </w:rPr>
      </w:pPr>
    </w:p>
    <w:p w:rsidR="005B2A7B" w:rsidRPr="00285DDF" w:rsidRDefault="005B2A7B" w:rsidP="00C53D5F">
      <w:pPr>
        <w:pStyle w:val="Titre2"/>
        <w:jc w:val="both"/>
        <w:rPr>
          <w:rFonts w:ascii="Marianne" w:hAnsi="Marianne"/>
        </w:rPr>
      </w:pPr>
      <w:r w:rsidRPr="00285DDF">
        <w:rPr>
          <w:rFonts w:ascii="Marianne" w:hAnsi="Marianne"/>
        </w:rPr>
        <w:t>Concernant le transport des denrées</w:t>
      </w:r>
    </w:p>
    <w:p w:rsidR="008304F4" w:rsidRPr="00285DDF" w:rsidRDefault="008304F4" w:rsidP="00C53D5F">
      <w:pPr>
        <w:ind w:left="360"/>
        <w:jc w:val="both"/>
        <w:rPr>
          <w:rFonts w:ascii="Marianne" w:hAnsi="Marianne"/>
          <w:sz w:val="22"/>
          <w:szCs w:val="22"/>
        </w:rPr>
      </w:pPr>
    </w:p>
    <w:p w:rsidR="005B2A7B" w:rsidRPr="00285DDF" w:rsidRDefault="005B2A7B" w:rsidP="00C53D5F">
      <w:pPr>
        <w:pStyle w:val="Paragraphedeliste"/>
        <w:numPr>
          <w:ilvl w:val="0"/>
          <w:numId w:val="48"/>
        </w:numPr>
        <w:jc w:val="both"/>
        <w:rPr>
          <w:rFonts w:ascii="Marianne" w:hAnsi="Marianne"/>
          <w:sz w:val="22"/>
          <w:szCs w:val="22"/>
        </w:rPr>
      </w:pPr>
      <w:r w:rsidRPr="00285DDF">
        <w:rPr>
          <w:rFonts w:ascii="Marianne" w:hAnsi="Marianne"/>
          <w:sz w:val="22"/>
          <w:szCs w:val="22"/>
        </w:rPr>
        <w:t>Arrêté du 20 juillet 1998 des ministères de l’agriculture, de l’économie et des transports fixant les conditions techniques et hygiéniques applicables au transport des aliments (JO RF du 6 août 1998) et la note de service GGAL/SDHA/n°99-8085 du 8 juin 1999 sur son application.</w:t>
      </w:r>
    </w:p>
    <w:p w:rsidR="008304F4" w:rsidRPr="00285DDF" w:rsidRDefault="008304F4" w:rsidP="00C53D5F">
      <w:pPr>
        <w:ind w:left="360"/>
        <w:jc w:val="both"/>
        <w:rPr>
          <w:rFonts w:ascii="Marianne" w:hAnsi="Marianne"/>
          <w:sz w:val="22"/>
          <w:szCs w:val="22"/>
        </w:rPr>
      </w:pPr>
    </w:p>
    <w:p w:rsidR="005B2A7B" w:rsidRPr="00285DDF" w:rsidRDefault="005B2A7B" w:rsidP="00C53D5F">
      <w:pPr>
        <w:pStyle w:val="Titre2"/>
        <w:jc w:val="both"/>
        <w:rPr>
          <w:rFonts w:ascii="Marianne" w:hAnsi="Marianne"/>
        </w:rPr>
      </w:pPr>
      <w:r w:rsidRPr="00285DDF">
        <w:rPr>
          <w:rFonts w:ascii="Marianne" w:hAnsi="Marianne"/>
        </w:rPr>
        <w:t>Concernant l’agrément sanitaire</w:t>
      </w:r>
    </w:p>
    <w:p w:rsidR="008304F4" w:rsidRPr="00285DDF" w:rsidRDefault="008304F4" w:rsidP="00C53D5F">
      <w:pPr>
        <w:ind w:left="360"/>
        <w:jc w:val="both"/>
        <w:rPr>
          <w:rFonts w:ascii="Marianne" w:hAnsi="Marianne"/>
          <w:sz w:val="22"/>
          <w:szCs w:val="22"/>
        </w:rPr>
      </w:pPr>
    </w:p>
    <w:p w:rsidR="005B2A7B" w:rsidRPr="00285DDF" w:rsidRDefault="005B2A7B" w:rsidP="00C53D5F">
      <w:pPr>
        <w:pStyle w:val="Paragraphedeliste"/>
        <w:numPr>
          <w:ilvl w:val="0"/>
          <w:numId w:val="48"/>
        </w:numPr>
        <w:jc w:val="both"/>
        <w:rPr>
          <w:rFonts w:ascii="Marianne" w:hAnsi="Marianne"/>
          <w:sz w:val="22"/>
          <w:szCs w:val="22"/>
        </w:rPr>
      </w:pPr>
      <w:r w:rsidRPr="00285DDF">
        <w:rPr>
          <w:rFonts w:ascii="Marianne" w:hAnsi="Marianne"/>
          <w:sz w:val="22"/>
          <w:szCs w:val="22"/>
        </w:rPr>
        <w:t>Arrêté du 28 juin 1994, modifié par l’arrêté du 29 mai 1995 et par l’arrêté du 6 novembre 2000, du ministère de l’agriculture relatif à l’identification et à l’agrément sanitaires des établissements mettant sur le marché des denrées animales ou d’origine animale et au marquage de salubrité (JORF du 31 juillet 1994).</w:t>
      </w:r>
    </w:p>
    <w:p w:rsidR="008304F4" w:rsidRPr="00285DDF" w:rsidRDefault="008304F4" w:rsidP="00C53D5F">
      <w:pPr>
        <w:ind w:left="360"/>
        <w:jc w:val="both"/>
        <w:rPr>
          <w:rFonts w:ascii="Marianne" w:hAnsi="Marianne"/>
          <w:sz w:val="22"/>
          <w:szCs w:val="22"/>
        </w:rPr>
      </w:pPr>
    </w:p>
    <w:p w:rsidR="005B2A7B" w:rsidRPr="00285DDF" w:rsidRDefault="005B2A7B" w:rsidP="00C53D5F">
      <w:pPr>
        <w:pStyle w:val="Paragraphedeliste"/>
        <w:numPr>
          <w:ilvl w:val="0"/>
          <w:numId w:val="48"/>
        </w:numPr>
        <w:jc w:val="both"/>
        <w:rPr>
          <w:rFonts w:ascii="Marianne" w:hAnsi="Marianne"/>
          <w:sz w:val="22"/>
          <w:szCs w:val="22"/>
        </w:rPr>
      </w:pPr>
      <w:r w:rsidRPr="00285DDF">
        <w:rPr>
          <w:rFonts w:ascii="Marianne" w:hAnsi="Marianne"/>
          <w:sz w:val="22"/>
          <w:szCs w:val="22"/>
        </w:rPr>
        <w:t>Arrêté du 8 juin 2006 modifié relatif à l'agrément des établissements mettant sur le marché des produits d'origine animale ou des denrées contenant des produits d'origine animale</w:t>
      </w:r>
    </w:p>
    <w:p w:rsidR="008304F4" w:rsidRPr="00285DDF" w:rsidRDefault="008304F4" w:rsidP="00C53D5F">
      <w:pPr>
        <w:ind w:left="360"/>
        <w:jc w:val="both"/>
        <w:rPr>
          <w:rFonts w:ascii="Marianne" w:hAnsi="Marianne"/>
          <w:b/>
          <w:sz w:val="22"/>
          <w:szCs w:val="22"/>
        </w:rPr>
      </w:pPr>
    </w:p>
    <w:p w:rsidR="002D5E60" w:rsidRPr="00285DDF" w:rsidRDefault="002D5E60" w:rsidP="00C53D5F">
      <w:pPr>
        <w:ind w:left="360"/>
        <w:jc w:val="both"/>
        <w:rPr>
          <w:rFonts w:ascii="Marianne" w:hAnsi="Marianne"/>
          <w:b/>
          <w:sz w:val="22"/>
          <w:szCs w:val="22"/>
        </w:rPr>
      </w:pPr>
    </w:p>
    <w:p w:rsidR="005B2A7B" w:rsidRPr="00285DDF" w:rsidRDefault="005B2A7B" w:rsidP="00C53D5F">
      <w:pPr>
        <w:ind w:left="360"/>
        <w:jc w:val="both"/>
        <w:rPr>
          <w:rFonts w:ascii="Marianne" w:hAnsi="Marianne"/>
          <w:b/>
          <w:sz w:val="22"/>
          <w:szCs w:val="22"/>
        </w:rPr>
      </w:pPr>
      <w:r w:rsidRPr="00285DDF">
        <w:rPr>
          <w:rFonts w:ascii="Marianne" w:hAnsi="Marianne"/>
          <w:b/>
          <w:sz w:val="22"/>
          <w:szCs w:val="22"/>
        </w:rPr>
        <w:t>Et toute instruction nouvelle à paraître en cours d’exécution du contrat.</w:t>
      </w:r>
    </w:p>
    <w:sectPr w:rsidR="005B2A7B" w:rsidRPr="00285DDF" w:rsidSect="00237108">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924" w:rsidRDefault="00262924" w:rsidP="000E199B">
      <w:r>
        <w:separator/>
      </w:r>
    </w:p>
  </w:endnote>
  <w:endnote w:type="continuationSeparator" w:id="0">
    <w:p w:rsidR="00262924" w:rsidRDefault="00262924" w:rsidP="000E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arianne Light">
    <w:panose1 w:val="02000000000000000000"/>
    <w:charset w:val="00"/>
    <w:family w:val="auto"/>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924" w:rsidRDefault="00262924">
    <w:pPr>
      <w:tabs>
        <w:tab w:val="center" w:pos="4550"/>
        <w:tab w:val="left" w:pos="5818"/>
      </w:tabs>
      <w:ind w:right="260"/>
      <w:jc w:val="right"/>
      <w:rPr>
        <w:color w:val="0F243E" w:themeColor="text2" w:themeShade="80"/>
      </w:rPr>
    </w:pPr>
    <w:r>
      <w:rPr>
        <w:color w:val="548DD4" w:themeColor="text2" w:themeTint="99"/>
        <w:spacing w:val="60"/>
      </w:rPr>
      <w:t>Page</w:t>
    </w:r>
    <w:r>
      <w:rPr>
        <w:color w:val="548DD4" w:themeColor="text2" w:themeTint="99"/>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2202B">
      <w:rPr>
        <w:noProof/>
        <w:color w:val="17365D" w:themeColor="text2" w:themeShade="BF"/>
      </w:rPr>
      <w:t>1</w:t>
    </w:r>
    <w:r>
      <w:rPr>
        <w:color w:val="17365D" w:themeColor="text2" w:themeShade="BF"/>
      </w:rPr>
      <w:fldChar w:fldCharType="end"/>
    </w:r>
    <w:r>
      <w:rPr>
        <w:color w:val="17365D" w:themeColor="text2" w:themeShade="BF"/>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2202B">
      <w:rPr>
        <w:noProof/>
        <w:color w:val="17365D" w:themeColor="text2" w:themeShade="BF"/>
      </w:rPr>
      <w:t>4</w:t>
    </w:r>
    <w:r>
      <w:rPr>
        <w:color w:val="17365D" w:themeColor="text2" w:themeShade="BF"/>
      </w:rPr>
      <w:fldChar w:fldCharType="end"/>
    </w:r>
  </w:p>
  <w:p w:rsidR="00262924" w:rsidRDefault="0026292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924" w:rsidRDefault="00262924" w:rsidP="000E199B">
      <w:r>
        <w:separator/>
      </w:r>
    </w:p>
  </w:footnote>
  <w:footnote w:type="continuationSeparator" w:id="0">
    <w:p w:rsidR="00262924" w:rsidRDefault="00262924" w:rsidP="000E19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803E5F"/>
    <w:multiLevelType w:val="hybridMultilevel"/>
    <w:tmpl w:val="898EAB0C"/>
    <w:lvl w:ilvl="0" w:tplc="FFFFFFFF">
      <w:start w:val="1"/>
      <w:numFmt w:val="bullet"/>
      <w:lvlText w:val="•"/>
      <w:lvlJc w:val="left"/>
    </w:lvl>
    <w:lvl w:ilvl="1" w:tplc="040C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E39723"/>
    <w:multiLevelType w:val="hybridMultilevel"/>
    <w:tmpl w:val="FE47EB39"/>
    <w:lvl w:ilvl="0" w:tplc="FFFFFFFF">
      <w:start w:val="1"/>
      <w:numFmt w:val="ideographDigital"/>
      <w:lvlText w:val=""/>
      <w:lvlJc w:val="left"/>
    </w:lvl>
    <w:lvl w:ilvl="1" w:tplc="18A59C14">
      <w:start w:val="1"/>
      <w:numFmt w:val="bullet"/>
      <w:lvlText w:val="•"/>
      <w:lvlJc w:val="left"/>
    </w:lvl>
    <w:lvl w:ilvl="2" w:tplc="6E97FE8A">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D2D35E"/>
    <w:multiLevelType w:val="hybridMultilevel"/>
    <w:tmpl w:val="8A149B04"/>
    <w:lvl w:ilvl="0" w:tplc="FFFFFFFF">
      <w:start w:val="1"/>
      <w:numFmt w:val="ideographDigital"/>
      <w:lvlText w:val="•"/>
      <w:lvlJc w:val="left"/>
    </w:lvl>
    <w:lvl w:ilvl="1" w:tplc="040C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8873A5"/>
    <w:multiLevelType w:val="hybridMultilevel"/>
    <w:tmpl w:val="EF08B26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49577D2"/>
    <w:multiLevelType w:val="hybridMultilevel"/>
    <w:tmpl w:val="D7F4348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2C0EA8"/>
    <w:multiLevelType w:val="hybridMultilevel"/>
    <w:tmpl w:val="7E1A37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6D84ACE"/>
    <w:multiLevelType w:val="hybridMultilevel"/>
    <w:tmpl w:val="40F8F9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76F6BD3"/>
    <w:multiLevelType w:val="multilevel"/>
    <w:tmpl w:val="FB6CFDC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F170E2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D7342A"/>
    <w:multiLevelType w:val="hybridMultilevel"/>
    <w:tmpl w:val="82C2C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EF1684"/>
    <w:multiLevelType w:val="hybridMultilevel"/>
    <w:tmpl w:val="D3E69D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6B13311"/>
    <w:multiLevelType w:val="hybridMultilevel"/>
    <w:tmpl w:val="AEE069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700155E"/>
    <w:multiLevelType w:val="hybridMultilevel"/>
    <w:tmpl w:val="AB6242C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172219DF"/>
    <w:multiLevelType w:val="hybridMultilevel"/>
    <w:tmpl w:val="45E6F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156E63"/>
    <w:multiLevelType w:val="multilevel"/>
    <w:tmpl w:val="FB6CFDC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F1C3754"/>
    <w:multiLevelType w:val="hybridMultilevel"/>
    <w:tmpl w:val="7CC890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FF4F3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8A69BD"/>
    <w:multiLevelType w:val="hybridMultilevel"/>
    <w:tmpl w:val="40CC6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A8209D3"/>
    <w:multiLevelType w:val="hybridMultilevel"/>
    <w:tmpl w:val="290886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313300F"/>
    <w:multiLevelType w:val="hybridMultilevel"/>
    <w:tmpl w:val="E61C4F3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36BF080C"/>
    <w:multiLevelType w:val="hybridMultilevel"/>
    <w:tmpl w:val="EE46B14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15:restartNumberingAfterBreak="0">
    <w:nsid w:val="38A07E24"/>
    <w:multiLevelType w:val="hybridMultilevel"/>
    <w:tmpl w:val="71705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5B6829"/>
    <w:multiLevelType w:val="hybridMultilevel"/>
    <w:tmpl w:val="E04A20F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42B4440F"/>
    <w:multiLevelType w:val="hybridMultilevel"/>
    <w:tmpl w:val="72F46B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35D77E7"/>
    <w:multiLevelType w:val="hybridMultilevel"/>
    <w:tmpl w:val="8DF8D3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660AE9"/>
    <w:multiLevelType w:val="hybridMultilevel"/>
    <w:tmpl w:val="90B29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4FB6F2C"/>
    <w:multiLevelType w:val="hybridMultilevel"/>
    <w:tmpl w:val="58845A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745A76"/>
    <w:multiLevelType w:val="hybridMultilevel"/>
    <w:tmpl w:val="A8B6DD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105135"/>
    <w:multiLevelType w:val="hybridMultilevel"/>
    <w:tmpl w:val="2DC415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9A7D05"/>
    <w:multiLevelType w:val="hybridMultilevel"/>
    <w:tmpl w:val="FB6857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649450A8"/>
    <w:multiLevelType w:val="hybridMultilevel"/>
    <w:tmpl w:val="010ED44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65746B7A"/>
    <w:multiLevelType w:val="hybridMultilevel"/>
    <w:tmpl w:val="0C4AF4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67B67231"/>
    <w:multiLevelType w:val="hybridMultilevel"/>
    <w:tmpl w:val="1370F7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9EA0949"/>
    <w:multiLevelType w:val="hybridMultilevel"/>
    <w:tmpl w:val="CDC80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B501DAB"/>
    <w:multiLevelType w:val="hybridMultilevel"/>
    <w:tmpl w:val="95B825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F80017"/>
    <w:multiLevelType w:val="hybridMultilevel"/>
    <w:tmpl w:val="B00E999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74C7385C"/>
    <w:multiLevelType w:val="hybridMultilevel"/>
    <w:tmpl w:val="B336C1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DB7047"/>
    <w:multiLevelType w:val="multilevel"/>
    <w:tmpl w:val="22F45770"/>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7B0628E"/>
    <w:multiLevelType w:val="hybridMultilevel"/>
    <w:tmpl w:val="0D7A438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78215455"/>
    <w:multiLevelType w:val="hybridMultilevel"/>
    <w:tmpl w:val="07443A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AE879E2"/>
    <w:multiLevelType w:val="hybridMultilevel"/>
    <w:tmpl w:val="131A41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E900AB"/>
    <w:multiLevelType w:val="hybridMultilevel"/>
    <w:tmpl w:val="064A8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21"/>
  </w:num>
  <w:num w:numId="5">
    <w:abstractNumId w:val="4"/>
  </w:num>
  <w:num w:numId="6">
    <w:abstractNumId w:val="41"/>
  </w:num>
  <w:num w:numId="7">
    <w:abstractNumId w:val="27"/>
  </w:num>
  <w:num w:numId="8">
    <w:abstractNumId w:val="28"/>
  </w:num>
  <w:num w:numId="9">
    <w:abstractNumId w:val="13"/>
  </w:num>
  <w:num w:numId="10">
    <w:abstractNumId w:val="24"/>
  </w:num>
  <w:num w:numId="11">
    <w:abstractNumId w:val="32"/>
  </w:num>
  <w:num w:numId="12">
    <w:abstractNumId w:val="26"/>
  </w:num>
  <w:num w:numId="13">
    <w:abstractNumId w:val="6"/>
  </w:num>
  <w:num w:numId="14">
    <w:abstractNumId w:val="7"/>
  </w:num>
  <w:num w:numId="15">
    <w:abstractNumId w:val="18"/>
  </w:num>
  <w:num w:numId="16">
    <w:abstractNumId w:val="39"/>
  </w:num>
  <w:num w:numId="17">
    <w:abstractNumId w:val="17"/>
  </w:num>
  <w:num w:numId="18">
    <w:abstractNumId w:val="23"/>
  </w:num>
  <w:num w:numId="19">
    <w:abstractNumId w:val="15"/>
  </w:num>
  <w:num w:numId="20">
    <w:abstractNumId w:val="5"/>
  </w:num>
  <w:num w:numId="21">
    <w:abstractNumId w:val="34"/>
  </w:num>
  <w:num w:numId="22">
    <w:abstractNumId w:val="40"/>
  </w:num>
  <w:num w:numId="23">
    <w:abstractNumId w:val="36"/>
  </w:num>
  <w:num w:numId="24">
    <w:abstractNumId w:val="33"/>
  </w:num>
  <w:num w:numId="25">
    <w:abstractNumId w:val="9"/>
  </w:num>
  <w:num w:numId="26">
    <w:abstractNumId w:val="25"/>
  </w:num>
  <w:num w:numId="27">
    <w:abstractNumId w:val="14"/>
  </w:num>
  <w:num w:numId="28">
    <w:abstractNumId w:val="10"/>
  </w:num>
  <w:num w:numId="29">
    <w:abstractNumId w:val="30"/>
  </w:num>
  <w:num w:numId="30">
    <w:abstractNumId w:val="22"/>
  </w:num>
  <w:num w:numId="31">
    <w:abstractNumId w:val="11"/>
  </w:num>
  <w:num w:numId="32">
    <w:abstractNumId w:val="20"/>
  </w:num>
  <w:num w:numId="33">
    <w:abstractNumId w:val="8"/>
  </w:num>
  <w:num w:numId="34">
    <w:abstractNumId w:val="16"/>
  </w:num>
  <w:num w:numId="35">
    <w:abstractNumId w:val="37"/>
  </w:num>
  <w:num w:numId="36">
    <w:abstractNumId w:val="38"/>
  </w:num>
  <w:num w:numId="37">
    <w:abstractNumId w:val="3"/>
  </w:num>
  <w:num w:numId="38">
    <w:abstractNumId w:val="19"/>
  </w:num>
  <w:num w:numId="39">
    <w:abstractNumId w:val="35"/>
  </w:num>
  <w:num w:numId="40">
    <w:abstractNumId w:val="37"/>
  </w:num>
  <w:num w:numId="41">
    <w:abstractNumId w:val="37"/>
  </w:num>
  <w:num w:numId="42">
    <w:abstractNumId w:val="37"/>
  </w:num>
  <w:num w:numId="43">
    <w:abstractNumId w:val="37"/>
  </w:num>
  <w:num w:numId="44">
    <w:abstractNumId w:val="37"/>
  </w:num>
  <w:num w:numId="45">
    <w:abstractNumId w:val="37"/>
  </w:num>
  <w:num w:numId="46">
    <w:abstractNumId w:val="12"/>
  </w:num>
  <w:num w:numId="47">
    <w:abstractNumId w:val="31"/>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108"/>
    <w:rsid w:val="00062234"/>
    <w:rsid w:val="000860F9"/>
    <w:rsid w:val="000A136F"/>
    <w:rsid w:val="000E199B"/>
    <w:rsid w:val="000F51BB"/>
    <w:rsid w:val="001F3A86"/>
    <w:rsid w:val="0022202B"/>
    <w:rsid w:val="00237108"/>
    <w:rsid w:val="00262924"/>
    <w:rsid w:val="00285DDF"/>
    <w:rsid w:val="002974ED"/>
    <w:rsid w:val="002B7198"/>
    <w:rsid w:val="002D5E60"/>
    <w:rsid w:val="0036662C"/>
    <w:rsid w:val="003B28E2"/>
    <w:rsid w:val="00424339"/>
    <w:rsid w:val="0056737F"/>
    <w:rsid w:val="00595CCD"/>
    <w:rsid w:val="005B2A7B"/>
    <w:rsid w:val="005F513E"/>
    <w:rsid w:val="006207FE"/>
    <w:rsid w:val="00637ADC"/>
    <w:rsid w:val="006A2B97"/>
    <w:rsid w:val="0079740E"/>
    <w:rsid w:val="007C24BF"/>
    <w:rsid w:val="00824C10"/>
    <w:rsid w:val="008304F4"/>
    <w:rsid w:val="00836860"/>
    <w:rsid w:val="00840C91"/>
    <w:rsid w:val="008A2960"/>
    <w:rsid w:val="008D1998"/>
    <w:rsid w:val="009D7ED0"/>
    <w:rsid w:val="00B01B43"/>
    <w:rsid w:val="00B921A0"/>
    <w:rsid w:val="00C53D5F"/>
    <w:rsid w:val="00C56A59"/>
    <w:rsid w:val="00CA2FB8"/>
    <w:rsid w:val="00CC1F7F"/>
    <w:rsid w:val="00CE5928"/>
    <w:rsid w:val="00D00C77"/>
    <w:rsid w:val="00D13C0E"/>
    <w:rsid w:val="00D3309C"/>
    <w:rsid w:val="00D66ED4"/>
    <w:rsid w:val="00E16710"/>
    <w:rsid w:val="00E532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DFE036"/>
  <w15:chartTrackingRefBased/>
  <w15:docId w15:val="{6DE4B19D-129E-4A4E-BD56-E472B01F3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icole 1"/>
    <w:qFormat/>
    <w:rsid w:val="009D7ED0"/>
    <w:rPr>
      <w:rFonts w:asciiTheme="majorHAnsi" w:hAnsiTheme="majorHAnsi"/>
      <w:sz w:val="24"/>
      <w:szCs w:val="24"/>
    </w:rPr>
  </w:style>
  <w:style w:type="paragraph" w:styleId="Titre1">
    <w:name w:val="heading 1"/>
    <w:basedOn w:val="Normal"/>
    <w:next w:val="Normal"/>
    <w:link w:val="Titre1Car"/>
    <w:qFormat/>
    <w:rsid w:val="00CE5928"/>
    <w:pPr>
      <w:keepNext/>
      <w:keepLines/>
      <w:numPr>
        <w:numId w:val="35"/>
      </w:numPr>
      <w:spacing w:before="240"/>
      <w:outlineLvl w:val="0"/>
    </w:pPr>
    <w:rPr>
      <w:rFonts w:eastAsiaTheme="majorEastAsia"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37108"/>
    <w:pPr>
      <w:autoSpaceDE w:val="0"/>
      <w:autoSpaceDN w:val="0"/>
      <w:adjustRightInd w:val="0"/>
    </w:pPr>
    <w:rPr>
      <w:rFonts w:ascii="Calibri" w:hAnsi="Calibri" w:cs="Calibri"/>
      <w:color w:val="000000"/>
      <w:sz w:val="24"/>
      <w:szCs w:val="24"/>
    </w:rPr>
  </w:style>
  <w:style w:type="paragraph" w:styleId="Paragraphedeliste">
    <w:name w:val="List Paragraph"/>
    <w:basedOn w:val="Normal"/>
    <w:link w:val="ParagraphedelisteCar"/>
    <w:uiPriority w:val="34"/>
    <w:qFormat/>
    <w:rsid w:val="00237108"/>
    <w:pPr>
      <w:ind w:left="720"/>
      <w:contextualSpacing/>
    </w:pPr>
  </w:style>
  <w:style w:type="paragraph" w:styleId="En-tte">
    <w:name w:val="header"/>
    <w:basedOn w:val="Normal"/>
    <w:link w:val="En-tteCar"/>
    <w:unhideWhenUsed/>
    <w:rsid w:val="000E199B"/>
    <w:pPr>
      <w:tabs>
        <w:tab w:val="center" w:pos="4536"/>
        <w:tab w:val="right" w:pos="9072"/>
      </w:tabs>
    </w:pPr>
  </w:style>
  <w:style w:type="character" w:customStyle="1" w:styleId="En-tteCar">
    <w:name w:val="En-tête Car"/>
    <w:basedOn w:val="Policepardfaut"/>
    <w:link w:val="En-tte"/>
    <w:rsid w:val="000E199B"/>
    <w:rPr>
      <w:rFonts w:asciiTheme="majorHAnsi" w:hAnsiTheme="majorHAnsi"/>
      <w:sz w:val="24"/>
      <w:szCs w:val="24"/>
    </w:rPr>
  </w:style>
  <w:style w:type="paragraph" w:styleId="Pieddepage">
    <w:name w:val="footer"/>
    <w:basedOn w:val="Normal"/>
    <w:link w:val="PieddepageCar"/>
    <w:unhideWhenUsed/>
    <w:rsid w:val="000E199B"/>
    <w:pPr>
      <w:tabs>
        <w:tab w:val="center" w:pos="4536"/>
        <w:tab w:val="right" w:pos="9072"/>
      </w:tabs>
    </w:pPr>
  </w:style>
  <w:style w:type="character" w:customStyle="1" w:styleId="PieddepageCar">
    <w:name w:val="Pied de page Car"/>
    <w:basedOn w:val="Policepardfaut"/>
    <w:link w:val="Pieddepage"/>
    <w:rsid w:val="000E199B"/>
    <w:rPr>
      <w:rFonts w:asciiTheme="majorHAnsi" w:hAnsiTheme="majorHAnsi"/>
      <w:sz w:val="24"/>
      <w:szCs w:val="24"/>
    </w:rPr>
  </w:style>
  <w:style w:type="character" w:customStyle="1" w:styleId="Titre1Car">
    <w:name w:val="Titre 1 Car"/>
    <w:basedOn w:val="Policepardfaut"/>
    <w:link w:val="Titre1"/>
    <w:rsid w:val="00CE5928"/>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2974ED"/>
    <w:pPr>
      <w:spacing w:line="259" w:lineRule="auto"/>
      <w:outlineLvl w:val="9"/>
    </w:pPr>
  </w:style>
  <w:style w:type="paragraph" w:styleId="TM1">
    <w:name w:val="toc 1"/>
    <w:basedOn w:val="Normal"/>
    <w:next w:val="Normal"/>
    <w:autoRedefine/>
    <w:uiPriority w:val="39"/>
    <w:unhideWhenUsed/>
    <w:rsid w:val="00262924"/>
    <w:pPr>
      <w:spacing w:after="100"/>
    </w:pPr>
  </w:style>
  <w:style w:type="character" w:styleId="Lienhypertexte">
    <w:name w:val="Hyperlink"/>
    <w:basedOn w:val="Policepardfaut"/>
    <w:uiPriority w:val="99"/>
    <w:unhideWhenUsed/>
    <w:rsid w:val="00262924"/>
    <w:rPr>
      <w:color w:val="0000FF" w:themeColor="hyperlink"/>
      <w:u w:val="single"/>
    </w:rPr>
  </w:style>
  <w:style w:type="paragraph" w:styleId="TM2">
    <w:name w:val="toc 2"/>
    <w:basedOn w:val="Normal"/>
    <w:next w:val="Normal"/>
    <w:autoRedefine/>
    <w:uiPriority w:val="39"/>
    <w:unhideWhenUsed/>
    <w:rsid w:val="008304F4"/>
    <w:pPr>
      <w:spacing w:after="100" w:line="259" w:lineRule="auto"/>
      <w:ind w:left="220"/>
    </w:pPr>
    <w:rPr>
      <w:rFonts w:asciiTheme="minorHAnsi" w:eastAsiaTheme="minorEastAsia" w:hAnsiTheme="minorHAnsi"/>
      <w:sz w:val="22"/>
      <w:szCs w:val="22"/>
    </w:rPr>
  </w:style>
  <w:style w:type="paragraph" w:styleId="TM3">
    <w:name w:val="toc 3"/>
    <w:basedOn w:val="Normal"/>
    <w:next w:val="Normal"/>
    <w:autoRedefine/>
    <w:uiPriority w:val="39"/>
    <w:unhideWhenUsed/>
    <w:rsid w:val="008304F4"/>
    <w:pPr>
      <w:spacing w:after="100" w:line="259" w:lineRule="auto"/>
      <w:ind w:left="440"/>
    </w:pPr>
    <w:rPr>
      <w:rFonts w:asciiTheme="minorHAnsi" w:eastAsiaTheme="minorEastAsia" w:hAnsiTheme="minorHAnsi"/>
      <w:sz w:val="22"/>
      <w:szCs w:val="22"/>
    </w:rPr>
  </w:style>
  <w:style w:type="paragraph" w:customStyle="1" w:styleId="Titre2">
    <w:name w:val="Titre2"/>
    <w:basedOn w:val="Paragraphedeliste"/>
    <w:link w:val="Titre2Car"/>
    <w:qFormat/>
    <w:rsid w:val="008304F4"/>
    <w:pPr>
      <w:numPr>
        <w:ilvl w:val="1"/>
        <w:numId w:val="35"/>
      </w:numPr>
    </w:pPr>
    <w:rPr>
      <w:rFonts w:ascii="Marianne Light" w:hAnsi="Marianne Light"/>
      <w:b/>
      <w:color w:val="0070C0"/>
      <w:sz w:val="22"/>
      <w:szCs w:val="22"/>
    </w:rPr>
  </w:style>
  <w:style w:type="character" w:customStyle="1" w:styleId="ParagraphedelisteCar">
    <w:name w:val="Paragraphe de liste Car"/>
    <w:basedOn w:val="Policepardfaut"/>
    <w:link w:val="Paragraphedeliste"/>
    <w:uiPriority w:val="34"/>
    <w:rsid w:val="008304F4"/>
    <w:rPr>
      <w:rFonts w:asciiTheme="majorHAnsi" w:hAnsiTheme="majorHAnsi"/>
      <w:sz w:val="24"/>
      <w:szCs w:val="24"/>
    </w:rPr>
  </w:style>
  <w:style w:type="character" w:customStyle="1" w:styleId="Titre2Car">
    <w:name w:val="Titre2 Car"/>
    <w:basedOn w:val="ParagraphedelisteCar"/>
    <w:link w:val="Titre2"/>
    <w:rsid w:val="008304F4"/>
    <w:rPr>
      <w:rFonts w:ascii="Marianne Light" w:hAnsi="Marianne Light"/>
      <w:b/>
      <w:color w:val="0070C0"/>
      <w:sz w:val="22"/>
      <w:szCs w:val="22"/>
    </w:rPr>
  </w:style>
  <w:style w:type="paragraph" w:styleId="Textedebulles">
    <w:name w:val="Balloon Text"/>
    <w:basedOn w:val="Normal"/>
    <w:link w:val="TextedebullesCar"/>
    <w:semiHidden/>
    <w:unhideWhenUsed/>
    <w:rsid w:val="002D5E60"/>
    <w:rPr>
      <w:rFonts w:ascii="Segoe UI" w:hAnsi="Segoe UI" w:cs="Segoe UI"/>
      <w:sz w:val="18"/>
      <w:szCs w:val="18"/>
    </w:rPr>
  </w:style>
  <w:style w:type="character" w:customStyle="1" w:styleId="TextedebullesCar">
    <w:name w:val="Texte de bulles Car"/>
    <w:basedOn w:val="Policepardfaut"/>
    <w:link w:val="Textedebulles"/>
    <w:semiHidden/>
    <w:rsid w:val="002D5E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C89F6-244E-4326-879A-C479E7C0F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1400</Words>
  <Characters>7700</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SPM</dc:creator>
  <cp:keywords/>
  <dc:description/>
  <cp:lastModifiedBy>GONCALVES Maud</cp:lastModifiedBy>
  <cp:revision>10</cp:revision>
  <cp:lastPrinted>2025-01-13T09:55:00Z</cp:lastPrinted>
  <dcterms:created xsi:type="dcterms:W3CDTF">2024-11-26T12:34:00Z</dcterms:created>
  <dcterms:modified xsi:type="dcterms:W3CDTF">2025-01-13T10:27:00Z</dcterms:modified>
</cp:coreProperties>
</file>